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TITULO</w:t>
      </w:r>
    </w:p>
    <w:p>
      <w:pPr>
        <w:pStyle w:val="Cuerpo B"/>
        <w:spacing w:before="2" w:line="360" w:lineRule="auto"/>
        <w:jc w:val="both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Hospitalizaci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a Domicilio: </w:t>
      </w:r>
      <w:r>
        <w:rPr>
          <w:rStyle w:val="Ninguno"/>
          <w:rFonts w:ascii="Arial" w:hAnsi="Arial" w:hint="default"/>
          <w:rtl w:val="0"/>
          <w:lang w:val="es-ES_tradnl"/>
        </w:rPr>
        <w:t>¿</w:t>
      </w:r>
      <w:r>
        <w:rPr>
          <w:rStyle w:val="Ninguno"/>
          <w:rFonts w:ascii="Arial" w:hAnsi="Arial"/>
          <w:rtl w:val="0"/>
          <w:lang w:val="es-ES_tradnl"/>
        </w:rPr>
        <w:t xml:space="preserve">Un servicio exclusivamente hospitalario? </w:t>
      </w:r>
    </w:p>
    <w:p>
      <w:pPr>
        <w:pStyle w:val="Cuerpo B"/>
        <w:spacing w:before="2" w:line="360" w:lineRule="auto"/>
        <w:jc w:val="both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Experiencia en un centro Coordinador de Urgencias y Emergencias(CCU-112).</w:t>
      </w:r>
    </w:p>
    <w:p>
      <w:pPr>
        <w:pStyle w:val="Cuerpo B"/>
        <w:spacing w:before="2" w:line="360" w:lineRule="auto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FUNDAMENTO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Navarra la hospitalizaci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a domicilio (HaD) depende de  Medicina Interna. En los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ltimos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os ha triplicado sus camas.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Objetivo: conocer la repercusi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HaD en el CCU-112 y en movilizaci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recursos de la Red de Urgencias Extrahospitalarias.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MATERIAL Y METODOS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Estudio descriptivo de incidentes en el CCU-112 por pacientes de HaD, del 01/01/2016 al 31/12/2017.</w:t>
      </w:r>
      <w:r>
        <w:rPr>
          <w:rStyle w:val="Ninguno"/>
          <w:rFonts w:ascii="Arial" w:hAnsi="Arial"/>
          <w:sz w:val="24"/>
          <w:szCs w:val="24"/>
          <w:u w:color="ff0000"/>
          <w:rtl w:val="0"/>
          <w:lang w:val="es-ES_tradnl"/>
        </w:rPr>
        <w:t xml:space="preserve"> 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>Mediante SPSS.21, se analizaron sexo, edad, d</w:t>
      </w:r>
      <w:r>
        <w:rPr>
          <w:rStyle w:val="Ninguno"/>
          <w:rFonts w:ascii="Arial" w:hAnsi="Arial" w:hint="default"/>
          <w:sz w:val="24"/>
          <w:szCs w:val="24"/>
          <w:u w:color="00b0f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>a, hora, localidad, motivo de llamada, alertante y recursos movilizados.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Valoramos la asociaci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 xml:space="preserve"> de  variables  mediante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>el contraste de hip</w:t>
      </w:r>
      <w:r>
        <w:rPr>
          <w:rStyle w:val="Ninguno"/>
          <w:rFonts w:ascii="Arial" w:hAnsi="Arial" w:hint="default"/>
          <w:sz w:val="24"/>
          <w:szCs w:val="24"/>
          <w:u w:color="00b0f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 xml:space="preserve">tesis usando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χ²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 Pearson (nivel de significaci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5%)</w:t>
      </w: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>.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>RESULTADOS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>369 incidentes atendidos y  340 recursos movilizados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(</w:t>
      </w: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 xml:space="preserve">el equipo sanitario en 43,9%).  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>Motivos: 57,25% cl</w:t>
      </w:r>
      <w:r>
        <w:rPr>
          <w:rStyle w:val="Ninguno"/>
          <w:rFonts w:ascii="Arial" w:hAnsi="Arial" w:hint="default"/>
          <w:sz w:val="24"/>
          <w:szCs w:val="24"/>
          <w:u w:color="00b0f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>nicos y 19,5% procedimientos terap</w:t>
      </w:r>
      <w:r>
        <w:rPr>
          <w:rStyle w:val="Ninguno"/>
          <w:rFonts w:ascii="Arial" w:hAnsi="Arial" w:hint="default"/>
          <w:sz w:val="24"/>
          <w:szCs w:val="24"/>
          <w:u w:color="00b0f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>uticos.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 xml:space="preserve">En el 67,5% el alertante era el paciente o cuidador. 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Por la ma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ana, alertaba HaD (52,8%) y el recurso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movilizado fue SAMU-SVB (47,2%). Por la noche, llamaban del domicilio (89,5%), enviando el 60,8% equipo de urgencias.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>Existen diferencias estad</w:t>
      </w:r>
      <w:r>
        <w:rPr>
          <w:rStyle w:val="Ninguno"/>
          <w:rFonts w:ascii="Arial" w:hAnsi="Arial" w:hint="default"/>
          <w:sz w:val="24"/>
          <w:szCs w:val="24"/>
          <w:u w:color="00b0f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>sticamente significativas entre alertante y recursos movilizados (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χ²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= 86,55,  p&lt;0,001)) y entre motivo de llamadas y recursos </w:t>
      </w: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>(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χ²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=177,  p&lt;0,001). 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u w:color="00b0f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En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2017 existe incremento de asuntos (56,25%) y  recursos movilizados (</w:t>
      </w: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>51,51%) respecto a 2016.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>CONCLUSIONES.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>La expansi</w:t>
      </w:r>
      <w:r>
        <w:rPr>
          <w:rStyle w:val="Ninguno"/>
          <w:rFonts w:ascii="Arial" w:hAnsi="Arial" w:hint="default"/>
          <w:sz w:val="24"/>
          <w:szCs w:val="24"/>
          <w:u w:color="00b0f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>n de HaD en Navarra supone un incremento de asuntos en el CCU-112-Navarra y de recursos movilizados.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>La HaD requiere de la participaci</w:t>
      </w:r>
      <w:r>
        <w:rPr>
          <w:rStyle w:val="Ninguno"/>
          <w:rFonts w:ascii="Arial" w:hAnsi="Arial" w:hint="default"/>
          <w:sz w:val="24"/>
          <w:szCs w:val="24"/>
          <w:u w:color="00b0f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>n de las de urgencias extrahospitalarias para garantizar una atenci</w:t>
      </w:r>
      <w:r>
        <w:rPr>
          <w:rStyle w:val="Ninguno"/>
          <w:rFonts w:ascii="Arial" w:hAnsi="Arial" w:hint="default"/>
          <w:sz w:val="24"/>
          <w:szCs w:val="24"/>
          <w:u w:color="00b0f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b0f0"/>
          <w:rtl w:val="0"/>
          <w:lang w:val="es-ES_tradnl"/>
        </w:rPr>
        <w:t>n continuada y de calidad.</w:t>
      </w:r>
    </w:p>
    <w:p>
      <w:pPr>
        <w:pStyle w:val="Cuerpo A"/>
        <w:spacing w:line="360" w:lineRule="auto"/>
      </w:pPr>
      <w:r>
        <w:rPr>
          <w:rStyle w:val="Ninguno"/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es-ES_tradnl"/>
        </w:rPr>
        <w:t>Palabras claves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: </w:t>
      </w:r>
      <w:r>
        <w:rPr>
          <w:rStyle w:val="Ninguno"/>
          <w:rFonts w:ascii="Calibri" w:cs="Calibri" w:hAnsi="Calibri" w:eastAsia="Calibri"/>
          <w:i w:val="1"/>
          <w:iCs w:val="1"/>
          <w:sz w:val="24"/>
          <w:szCs w:val="24"/>
          <w:rtl w:val="0"/>
          <w:lang w:val="es-ES_tradnl"/>
        </w:rPr>
        <w:t>hospitalizaci</w:t>
      </w:r>
      <w:r>
        <w:rPr>
          <w:rStyle w:val="Ninguno"/>
          <w:rFonts w:ascii="Calibri" w:cs="Calibri" w:hAnsi="Calibri" w:eastAsia="Calibri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sz w:val="24"/>
          <w:szCs w:val="24"/>
          <w:rtl w:val="0"/>
          <w:lang w:val="es-ES_tradnl"/>
        </w:rPr>
        <w:t>n domiciliaria, hospitalizaci</w:t>
      </w:r>
      <w:r>
        <w:rPr>
          <w:rStyle w:val="Ninguno"/>
          <w:rFonts w:ascii="Calibri" w:cs="Calibri" w:hAnsi="Calibri" w:eastAsia="Calibri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sz w:val="24"/>
          <w:szCs w:val="24"/>
          <w:rtl w:val="0"/>
          <w:lang w:val="es-ES_tradnl"/>
        </w:rPr>
        <w:t>n a domicilio y atenci</w:t>
      </w:r>
      <w:r>
        <w:rPr>
          <w:rStyle w:val="Ninguno"/>
          <w:rFonts w:ascii="Calibri" w:cs="Calibri" w:hAnsi="Calibri" w:eastAsia="Calibri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i w:val="1"/>
          <w:iCs w:val="1"/>
          <w:sz w:val="24"/>
          <w:szCs w:val="24"/>
          <w:rtl w:val="0"/>
          <w:lang w:val="es-ES_tradnl"/>
        </w:rPr>
        <w:t>n  primaria.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uerpo B">
    <w:name w:val="Cuerpo B"/>
    <w:next w:val="Cue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