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63665B8" w14:textId="77777777" w:rsidR="00064564" w:rsidRDefault="00064564" w:rsidP="00524720">
      <w:pPr>
        <w:pStyle w:val="spsinstrucciones"/>
        <w:jc w:val="center"/>
      </w:pPr>
      <w:r w:rsidRPr="00504A34">
        <w:t xml:space="preserve">CONSIDERACIONES </w:t>
      </w:r>
      <w:r w:rsidRPr="00194EC3">
        <w:t>GENERALES</w:t>
      </w:r>
      <w:r w:rsidRPr="00504A34">
        <w:t>:</w:t>
      </w:r>
    </w:p>
    <w:p w14:paraId="6FE8FDB0" w14:textId="77777777" w:rsidR="00064564" w:rsidRDefault="00064564" w:rsidP="00064564">
      <w:pPr>
        <w:pStyle w:val="spsinstrucciones"/>
      </w:pPr>
    </w:p>
    <w:p w14:paraId="58592B78" w14:textId="77777777" w:rsidR="00064564" w:rsidRDefault="00064564" w:rsidP="00605FC0">
      <w:pPr>
        <w:pStyle w:val="spsinstrucciones"/>
        <w:jc w:val="both"/>
      </w:pPr>
      <w:r>
        <w:t xml:space="preserve">1) ESTA PLANTILLA SIRVE PARA RECOGER LA INFORMACIÓN DE LOS MANUSCRITOS SEGÚN UN ORDEN SISTEMÁTICO QUE FACILITARÁ SU MAQUETACIÓN </w:t>
      </w:r>
      <w:r w:rsidR="00171B38">
        <w:t xml:space="preserve">Y MEJOR DIFUSIÓN </w:t>
      </w:r>
      <w:r>
        <w:t>EN SCIELO, PUBMED, CLARIVATE</w:t>
      </w:r>
      <w:r w:rsidR="00F12777">
        <w:t xml:space="preserve"> Y LA WEB EN GENERAL</w:t>
      </w:r>
      <w:r>
        <w:t>.</w:t>
      </w:r>
    </w:p>
    <w:p w14:paraId="6FE56F09" w14:textId="77777777" w:rsidR="00064564" w:rsidRDefault="00064564" w:rsidP="00605FC0">
      <w:pPr>
        <w:pStyle w:val="spsinstrucciones"/>
        <w:jc w:val="both"/>
      </w:pPr>
      <w:r>
        <w:t>2) ESTE NO ES EL ASPECTO FINAL DE LOS ARTÍCULOS, AHORA LO IMPORTANTE ES RESPETAR EL ORDEN DE LOS DATOS, LOS APARTADOS Y REFERENCIAS.</w:t>
      </w:r>
    </w:p>
    <w:p w14:paraId="4FE1A14F" w14:textId="4B5AE246" w:rsidR="00064564" w:rsidRDefault="001F2249" w:rsidP="00605FC0">
      <w:pPr>
        <w:pStyle w:val="spsinstrucciones"/>
        <w:jc w:val="both"/>
      </w:pPr>
      <w:r>
        <w:t>3</w:t>
      </w:r>
      <w:r w:rsidR="00064564">
        <w:t>) PARA LAS REFERENCIAS BIBLIOGRÁFICAS DEBE CUMPLIRSE RIGUROSAMENTE EL ESTILO VANCOUVER</w:t>
      </w:r>
      <w:r w:rsidR="000E1959">
        <w:t xml:space="preserve"> </w:t>
      </w:r>
      <w:hyperlink r:id="rId6" w:history="1">
        <w:r w:rsidR="000E1959" w:rsidRPr="00485796">
          <w:rPr>
            <w:rStyle w:val="Hipervnculo"/>
          </w:rPr>
          <w:t>https://www.nlm.nih.gov/bsd/uniform_requirements.html</w:t>
        </w:r>
      </w:hyperlink>
      <w:r w:rsidR="00064564">
        <w:t xml:space="preserve"> (En caso contrario la elaboración del XML fallará y se incrementa el precio de maquetación)</w:t>
      </w:r>
    </w:p>
    <w:p w14:paraId="78A77456" w14:textId="4EB7A40C" w:rsidR="001E10D9" w:rsidRDefault="001E10D9" w:rsidP="00605FC0">
      <w:pPr>
        <w:pStyle w:val="spsinstrucciones"/>
        <w:jc w:val="both"/>
      </w:pPr>
      <w:r>
        <w:t>4) NO USAR NOTAS AL PIE DE PÁGINA NI NOTAS AL FINAL BAJO NINGÚN CONCEPTO</w:t>
      </w:r>
    </w:p>
    <w:p w14:paraId="1DF6230D" w14:textId="5C317279" w:rsidR="00064564" w:rsidRDefault="001E10D9" w:rsidP="00064564">
      <w:pPr>
        <w:pStyle w:val="spsinstrucciones"/>
      </w:pPr>
      <w:r>
        <w:t>5</w:t>
      </w:r>
      <w:r w:rsidR="00064564">
        <w:t>) LOS TEXTOS EN COLOR ROJO DE ESTE DOCUMENTO SON INSTRUCCIONES QUE SE PUEDEN BORRAR UNA VEZ INCOPORADO EL ARTÍCULO A LA PLANTILLA.</w:t>
      </w:r>
    </w:p>
    <w:p w14:paraId="06AB6AEA" w14:textId="2FA2390F" w:rsidR="00E17C17" w:rsidRDefault="001E10D9" w:rsidP="00064564">
      <w:pPr>
        <w:pStyle w:val="spsinstrucciones"/>
      </w:pPr>
      <w:r>
        <w:t>6</w:t>
      </w:r>
      <w:r w:rsidR="00E17C17">
        <w:t xml:space="preserve">) NO BORRAR LOS </w:t>
      </w:r>
      <w:r w:rsidR="00E17C17" w:rsidRPr="00FF5543">
        <w:rPr>
          <w:color w:val="FFD966" w:themeColor="accent4" w:themeTint="99"/>
        </w:rPr>
        <w:t>TEXTOS EN COLOR AMARILLO</w:t>
      </w:r>
      <w:r w:rsidR="00E17C17">
        <w:t xml:space="preserve">, EN TODO CASO SE PUEDEN SUSTITUIR POR LÍNEAS EN BLANCO </w:t>
      </w:r>
    </w:p>
    <w:p w14:paraId="79314788" w14:textId="5EC93E09" w:rsidR="00F25D76" w:rsidRDefault="001E10D9" w:rsidP="00064564">
      <w:pPr>
        <w:pStyle w:val="spsinstrucciones"/>
      </w:pPr>
      <w:r>
        <w:t>7</w:t>
      </w:r>
      <w:r w:rsidR="00F25D76">
        <w:t>) ESTA PLANTILLA SE HA ELABORADO TOMANDO COMO REFERENCIA LAS INSTRUCCIONES DE SCIELO. LA INFORMACIÓN COMPLETA PUEDE CONSULTARSE EN:</w:t>
      </w:r>
    </w:p>
    <w:p w14:paraId="729212E8" w14:textId="77777777" w:rsidR="00F25D76" w:rsidRDefault="002B2F01" w:rsidP="00064564">
      <w:pPr>
        <w:pStyle w:val="spsinstrucciones"/>
      </w:pPr>
      <w:hyperlink r:id="rId7" w:anchor="estructura-y-formato-de-los-datos-basicos" w:history="1">
        <w:r w:rsidR="00F25D76" w:rsidRPr="00566366">
          <w:rPr>
            <w:rStyle w:val="Hipervnculo"/>
          </w:rPr>
          <w:t>http://www.scielo.org.mx/avaliacao/manual_marcacion/preparacion_archivos.html#estructura-y-formato-de-los-datos-basicos</w:t>
        </w:r>
      </w:hyperlink>
    </w:p>
    <w:p w14:paraId="68EC3AB3" w14:textId="77777777" w:rsidR="00064564" w:rsidRDefault="00064564" w:rsidP="00064564">
      <w:pPr>
        <w:pStyle w:val="spsinstrucciones"/>
      </w:pPr>
    </w:p>
    <w:p w14:paraId="4994DEEF" w14:textId="77777777" w:rsidR="00064564" w:rsidRDefault="00064564" w:rsidP="00064564">
      <w:pPr>
        <w:pStyle w:val="spsinstrucciones"/>
      </w:pPr>
    </w:p>
    <w:p w14:paraId="6F3964F7" w14:textId="77777777" w:rsidR="00524720" w:rsidRDefault="00524720">
      <w:pPr>
        <w:spacing w:after="0"/>
        <w:rPr>
          <w:color w:val="FFD966" w:themeColor="accent4" w:themeTint="99"/>
          <w:lang w:val="es-ES_tradnl"/>
        </w:rPr>
      </w:pPr>
      <w:r>
        <w:br w:type="page"/>
      </w:r>
    </w:p>
    <w:p w14:paraId="3C5EA2A2" w14:textId="10892314" w:rsidR="00064564" w:rsidRDefault="00064564" w:rsidP="00064564">
      <w:pPr>
        <w:pStyle w:val="spslineablanca"/>
      </w:pPr>
      <w:r>
        <w:lastRenderedPageBreak/>
        <w:t xml:space="preserve">No borrar esta línea </w:t>
      </w:r>
      <w:r w:rsidR="008C1823">
        <w:t xml:space="preserve">(las </w:t>
      </w:r>
      <w:proofErr w:type="spellStart"/>
      <w:r w:rsidR="008C1823">
        <w:t>subsecc</w:t>
      </w:r>
      <w:proofErr w:type="spellEnd"/>
      <w:r w:rsidR="008C1823">
        <w:t xml:space="preserve">. de nivel 1 llevan 2 </w:t>
      </w:r>
      <w:r w:rsidR="001432B0">
        <w:t>líneas</w:t>
      </w:r>
      <w:r w:rsidR="008C1823">
        <w:t xml:space="preserve"> en blanco antes)</w:t>
      </w:r>
    </w:p>
    <w:p w14:paraId="1591F752" w14:textId="77777777" w:rsidR="00064564" w:rsidRDefault="00064564" w:rsidP="00064564">
      <w:pPr>
        <w:pStyle w:val="spslineablanca"/>
      </w:pPr>
      <w:r>
        <w:t xml:space="preserve">No borrar esta línea </w:t>
      </w:r>
      <w:r w:rsidR="008C1823">
        <w:t xml:space="preserve">(las </w:t>
      </w:r>
      <w:proofErr w:type="spellStart"/>
      <w:r w:rsidR="008C1823">
        <w:t>subsecc</w:t>
      </w:r>
      <w:proofErr w:type="spellEnd"/>
      <w:r w:rsidR="008C1823">
        <w:t xml:space="preserve">. de nivel 1 llevan 2 </w:t>
      </w:r>
      <w:r w:rsidR="001432B0">
        <w:t>líneas</w:t>
      </w:r>
      <w:r w:rsidR="008C1823">
        <w:t xml:space="preserve"> en blanco antes)</w:t>
      </w:r>
    </w:p>
    <w:p w14:paraId="1BC9CFCB" w14:textId="3874FBF4" w:rsidR="00064564" w:rsidRDefault="00064564" w:rsidP="00064564">
      <w:pPr>
        <w:pStyle w:val="spstitsecc1"/>
      </w:pPr>
      <w:r>
        <w:t xml:space="preserve">Introducción </w:t>
      </w:r>
    </w:p>
    <w:p w14:paraId="283571C5" w14:textId="77777777" w:rsidR="008C1823" w:rsidRDefault="008C1823" w:rsidP="008C1823">
      <w:pPr>
        <w:pStyle w:val="spslineablanca"/>
      </w:pPr>
      <w:r>
        <w:t xml:space="preserve">No borrar esta línea (las </w:t>
      </w:r>
      <w:proofErr w:type="spellStart"/>
      <w:r>
        <w:t>subsecc</w:t>
      </w:r>
      <w:proofErr w:type="spellEnd"/>
      <w:r>
        <w:t>. de nivel 1 llevan 2 líneas en blanco después)</w:t>
      </w:r>
    </w:p>
    <w:p w14:paraId="255A4FEF" w14:textId="52F97562" w:rsidR="008C1823" w:rsidRDefault="008C1823" w:rsidP="008C1823">
      <w:pPr>
        <w:pStyle w:val="spslineablanca"/>
      </w:pPr>
      <w:r>
        <w:t xml:space="preserve">No borrar esta línea (las </w:t>
      </w:r>
      <w:proofErr w:type="spellStart"/>
      <w:r>
        <w:t>subsecc</w:t>
      </w:r>
      <w:proofErr w:type="spellEnd"/>
      <w:r>
        <w:t>. de nivel 1 llevan 2 líneas en blanco después)</w:t>
      </w:r>
    </w:p>
    <w:p w14:paraId="47190678" w14:textId="77777777" w:rsidR="000C7C69" w:rsidRDefault="000C7C69" w:rsidP="008C1823">
      <w:pPr>
        <w:pStyle w:val="spslineablanca"/>
      </w:pPr>
    </w:p>
    <w:p w14:paraId="4F6DB57B" w14:textId="77777777" w:rsidR="00024335" w:rsidRPr="000C7C69" w:rsidRDefault="00024335" w:rsidP="000C7C69">
      <w:pPr>
        <w:spacing w:line="480" w:lineRule="auto"/>
        <w:jc w:val="both"/>
      </w:pPr>
      <w:r w:rsidRPr="000C7C69">
        <w:t xml:space="preserve">La </w:t>
      </w:r>
      <w:proofErr w:type="spellStart"/>
      <w:r w:rsidRPr="000C7C69">
        <w:t>hiperpotasemia</w:t>
      </w:r>
      <w:proofErr w:type="spellEnd"/>
      <w:r w:rsidRPr="000C7C69">
        <w:t xml:space="preserve"> es un trastorno electrolítico común, especialmente en ERC, DM o ECV, reportándose una prevalencia de hasta 10% en pacientes hospitalizados </w:t>
      </w:r>
      <w:r w:rsidRPr="000C7C69">
        <w:fldChar w:fldCharType="begin" w:fldLock="1"/>
      </w:r>
      <w:r w:rsidRPr="000C7C69">
        <w:instrText>ADDIN CSL_CITATION {"citationItems":[{"id":"ITEM-1","itemData":{"DOI":"10.1093/eurheartj/suy029","ISSN":"15542815","abstract":"Hyperkalaemia is a common electrolyte abnormality and can cause life-threatening cardiac arrhythmia. Even though it is common in patients with diabetes, heart failure, and kidney disease, there is poor consensus over its definition and wide variability in its treatment. Medications used to treat hyperkalaemia in the emergent setting do not have robust efficacy and safety data to guide treatment leading to mismanagement due to poor choice of some agents or inappropriate dosing of others. Moreover, the medications used in the emergent setting are at best temporizing measures, with dialysis being the definitive treatment. New and old k binder therapies provide means to excrete potassium, but their roles are unclear in the emergent setting. Electrocardiograms are the corner stones of hyperkalaemia management; however, recent studies show that they might manifest abnormalities infrequently, even in severe hyperkalaemia, thus questioning their role. With an aging population and a rise in rates of heart and kidney failure, hyperkalaemia is on the rise, and there is a need, now more than ever, to understand the efficacy and safety of the current medications and to develop newer ones.","author":[{"dropping-particle":"","family":"Rafique","given":"Zubaid","non-dropping-particle":"","parse-names":false,"suffix":""},{"dropping-particle":"","family":"Chouihed","given":"Tahar","non-dropping-particle":"","parse-names":false,"suffix":""},{"dropping-particle":"","family":"Mebazaa","given":"Alexandre","non-dropping-particle":"","parse-names":false,"suffix":""},{"dropping-particle":"","family":"Frank Peacock","given":"W.","non-dropping-particle":"","parse-names":false,"suffix":""}],"container-title":"European Heart Journal, Supplement","id":"ITEM-1","issued":{"date-parts":[["2019"]]},"page":"A12-A19","title":"Current treatment and unmet needs of hyperkalaemia in the emergency department","type":"article-journal","volume":"21"},"uris":["http://www.mendeley.com/documents/?uuid=d596f142-af5a-4e2e-8264-2f79e027245b"]}],"mendeley":{"formattedCitation":"(1)","plainTextFormattedCitation":"(1)","previouslyFormattedCitation":"(1)"},"properties":{"noteIndex":0},"schema":"https://github.com/citation-style-language/schema/raw/master/csl-citation.json"}</w:instrText>
      </w:r>
      <w:r w:rsidRPr="000C7C69">
        <w:fldChar w:fldCharType="separate"/>
      </w:r>
      <w:r w:rsidRPr="000C7C69">
        <w:t>(1)</w:t>
      </w:r>
      <w:r w:rsidRPr="000C7C69">
        <w:fldChar w:fldCharType="end"/>
      </w:r>
      <w:r w:rsidRPr="000C7C69">
        <w:t xml:space="preserve">. La </w:t>
      </w:r>
      <w:proofErr w:type="spellStart"/>
      <w:r w:rsidRPr="000C7C69">
        <w:t>hiperpotasemia</w:t>
      </w:r>
      <w:proofErr w:type="spellEnd"/>
      <w:r w:rsidRPr="000C7C69">
        <w:t xml:space="preserve"> grave puede cursar con síntomas inespecíficos y provocar arritmias potencialmente mortales, como la asistolia o la fibrilación ventricular, asociándose a un aumento de la mortalidad </w:t>
      </w:r>
      <w:r w:rsidRPr="000C7C69">
        <w:fldChar w:fldCharType="begin" w:fldLock="1"/>
      </w:r>
      <w:r w:rsidRPr="000C7C69">
        <w:instrText>ADDIN CSL_CITATION {"citationItems":[{"id":"ITEM-1","itemData":{"DOI":"10.1007/s11154-016-9384-x.Updates","ISBN":"2163684814","abstract":"file:///C:/Users/Marika/Desktop/università di pavia/articoli/strategie per l'infertilità/nihms964087.pdf","author":[{"dropping-particle":"","family":"Maxson &amp; Mitchell","given":"","non-dropping-particle":"","parse-names":false,"suffix":""}],"container-title":"Physiology &amp; behavior","id":"ITEM-1","issue":"1","issued":{"date-parts":[["2016"]]},"page":"139-148","title":"Updates in hyperkalemia: Outcomes and therapeutic strategies HHS Public Access","type":"article-journal","volume":"176"},"uris":["http://www.mendeley.com/documents/?uuid=5ac48f2e-8c25-4826-ac7c-eeecaf9509af"]},{"id":"ITEM-2","itemData":{"DOI":"10.1093/eurheartj/suy029","ISSN":"15542815","abstract":"Hyperkalaemia is a common electrolyte abnormality and can cause life-threatening cardiac arrhythmia. Even though it is common in patients with diabetes, heart failure, and kidney disease, there is poor consensus over its definition and wide variability in its treatment. Medications used to treat hyperkalaemia in the emergent setting do not have robust efficacy and safety data to guide treatment leading to mismanagement due to poor choice of some agents or inappropriate dosing of others. Moreover, the medications used in the emergent setting are at best temporizing measures, with dialysis being the definitive treatment. New and old k binder therapies provide means to excrete potassium, but their roles are unclear in the emergent setting. Electrocardiograms are the corner stones of hyperkalaemia management; however, recent studies show that they might manifest abnormalities infrequently, even in severe hyperkalaemia, thus questioning their role. With an aging population and a rise in rates of heart and kidney failure, hyperkalaemia is on the rise, and there is a need, now more than ever, to understand the efficacy and safety of the current medications and to develop newer ones.","author":[{"dropping-particle":"","family":"Rafique","given":"Zubaid","non-dropping-particle":"","parse-names":false,"suffix":""},{"dropping-particle":"","family":"Chouihed","given":"Tahar","non-dropping-particle":"","parse-names":false,"suffix":""},{"dropping-particle":"","family":"Mebazaa","given":"Alexandre","non-dropping-particle":"","parse-names":false,"suffix":""},{"dropping-particle":"","family":"Frank Peacock","given":"W.","non-dropping-particle":"","parse-names":false,"suffix":""}],"container-title":"European Heart Journal, Supplement","id":"ITEM-2","issued":{"date-parts":[["2019"]]},"page":"A12-A19","title":"Current treatment and unmet needs of hyperkalaemia in the emergency department","type":"article-journal","volume":"21"},"uris":["http://www.mendeley.com/documents/?uuid=d596f142-af5a-4e2e-8264-2f79e027245b"]},{"id":"ITEM-3","itemData":{"DOI":"10.1159/000329511","ISSN":"1660-2110 (Electronic)","PMID":"22156587","abstract":"BACKGROUND/AIMS: Abnormal serum potassium is associated with higher mortality in  dialysis patients, but its impact on outcomes in predialysis chronic kidney disease (CKD) is less clear. Furthermore, blacks with normal kidney function have lower urinary potassium excretion, but it is unclear if such differences have a bearing on race-associated outcomes in CKD. METHODS: We studied predialysis mortality and slopes of estimated glomerular filtration rate, eGFR) associated with serum potassium in 1,227 males with CKD. Mortality was examined in time-dependent Cox models, and slopes of eGFR in linear mixed effects models with adjustments for case mix and laboratory values. RESULTS: Both hypo- and hyperkalemia were associated with mortality overall and in 933 white patients, but in 294 blacks hypokalemia was a stronger death predictor. Hypokalemia was associated with loss of kidney function independent of race: a 1 mEq/l lower potassium was associated with an adjusted difference in slopes of eGFR of -0.13 ml/min/1.73 m(2)/year (95% CI: -0.20 to -0.07), p &lt; 0.001. CONCLUSION: Hypo- and hyperkalemia are associated with higher mortality in CKD patients. Blacks appear to better tolerate higher potassium than whites. Hypokalemia is associated with faster CKD progression independent of race. Hyperkalemia management may warrant race-specific consideration, and hypokalemia correction may slow CKD progression.","author":[{"dropping-particle":"","family":"Hayes","given":"John","non-dropping-particle":"","parse-names":false,"suffix":""},{"dropping-particle":"","family":"Kalantar-Zadeh","given":"Kamyar","non-dropping-particle":"","parse-names":false,"suffix":""},{"dropping-particle":"","family":"Lu","given":"Jun L","non-dropping-particle":"","parse-names":false,"suffix":""},{"dropping-particle":"","family":"Turban","given":"Sharon","non-dropping-particle":"","parse-names":false,"suffix":""},{"dropping-particle":"","family":"Anderson","given":"John E","non-dropping-particle":"","parse-names":false,"suffix":""},{"dropping-particle":"","family":"Kovesdy","given":"Csaba P","non-dropping-particle":"","parse-names":false,"suffix":""}],"container-title":"Nephron. Clinical practice","id":"ITEM-3","issue":"1","issued":{"date-parts":[["2012"]]},"language":"eng","page":"c8-16","title":"Association of hypo- and hyperkalemia with disease progression and mortality in  males with chronic kidney disease: the role of race.","type":"article-journal","volume":"120"},"uris":["http://www.mendeley.com/documents/?uuid=61bc720f-f951-4976-977e-40c8691b9d86"]}],"mendeley":{"formattedCitation":"(1–3)","plainTextFormattedCitation":"(1–3)","previouslyFormattedCitation":"(1–3)"},"properties":{"noteIndex":0},"schema":"https://github.com/citation-style-language/schema/raw/master/csl-citation.json"}</w:instrText>
      </w:r>
      <w:r w:rsidRPr="000C7C69">
        <w:fldChar w:fldCharType="separate"/>
      </w:r>
      <w:r w:rsidRPr="000C7C69">
        <w:t>(1–3)</w:t>
      </w:r>
      <w:r w:rsidRPr="000C7C69">
        <w:fldChar w:fldCharType="end"/>
      </w:r>
      <w:r w:rsidRPr="000C7C69">
        <w:t xml:space="preserve">. Se trata, por tanto, de una emergencia médica que requiere de terapias inmediatas, seguidas de intervenciones destinadas a prevenir su reaparición. Pese a ello, existe una gran variabilidad clínica en cuanto al manejo de </w:t>
      </w:r>
      <w:proofErr w:type="spellStart"/>
      <w:r w:rsidRPr="000C7C69">
        <w:t>hiperpotasemia</w:t>
      </w:r>
      <w:proofErr w:type="spellEnd"/>
      <w:r w:rsidRPr="000C7C69">
        <w:t xml:space="preserve"> grave. En parte, porque los tratamientos no están respaldados por un conjunto de pruebas convincentes, y se utilizan de manera inconsistente en todas las instituciones </w:t>
      </w:r>
      <w:r w:rsidRPr="000C7C69">
        <w:fldChar w:fldCharType="begin" w:fldLock="1"/>
      </w:r>
      <w:r w:rsidRPr="000C7C69">
        <w:instrText>ADDIN CSL_CITATION {"citationItems":[{"id":"ITEM-1","itemData":{"DOI":"10.1016/j.phrs.2016.09.039","ISSN":"10961186","PMID":"27693804","abstract":"Hyperkalemia is a common electrolyte disorder, especially in chronic kidney disease, diabetes mellitus, or heart failure. Hyperkalemia can lead to potentially fatal cardiac dysrhythmias, and it is associated with increased mortality. Determining whether emergency therapy is warranted is largely based on subjective clinical judgment. The Investigator Network Initiative Cardiovascular and Renal Clinical Trialists (INI-CRCT) aimed to evaluate the current knowledge pertaining to the emergency treatment of hyperkalemia. The INI-CRCT developed a treatment algorithm reflecting expert opinion of best practices in the context of current evidence, identified gaps in knowledge, and set priorities for future research. We searched PubMed (to August 4, 2015) for consensus guidelines, reviews, randomized clinical trials, and observational studies, limited to English language but not by publication date. Treatment approaches are based on small studies, anecdotal experience, and traditional practice patterns. The safety and real-world effectiveness of standard therapies remain unproven. Prospective research is needed and should include studies to better characterize the population, define the serum potassium thresholds where life-threatening arrhythmias are imminent, assess the potassium and electrocardiogram response to standard interventions. Randomized, controlled trials are needed to test the safety and efficacy of new potassium binders for the emergency treatment of severe hyperkalemia in hemodynamically stable patients. Existing emergency treatments for severe hyperkalemia are not supported by a compelling body of evidence, and they are used inconsistently across institutions, with potentially significant associated side effects. Further research is needed to fill knowledge gaps, and definitive clinical trials are needed to better define optimal management strategies, and ultimately to improve outcomes in these patients.","author":[{"dropping-particle":"","family":"Rossignol","given":"Patrick","non-dropping-particle":"","parse-names":false,"suffix":""},{"dropping-particle":"","family":"Legrand","given":"Matthieu","non-dropping-particle":"","parse-names":false,"suffix":""},{"dropping-particle":"","family":"Kosiborod","given":"Mikhail","non-dropping-particle":"","parse-names":false,"suffix":""},{"dropping-particle":"","family":"Hollenberg","given":"Steven M.","non-dropping-particle":"","parse-names":false,"suffix":""},{"dropping-particle":"","family":"Peacock","given":"W. Frank","non-dropping-particle":"","parse-names":false,"suffix":""},{"dropping-particle":"","family":"Emmett","given":"Michael","non-dropping-particle":"","parse-names":false,"suffix":""},{"dropping-particle":"","family":"Epstein","given":"Murray","non-dropping-particle":"","parse-names":false,"suffix":""},{"dropping-particle":"","family":"Kovesdy","given":"Csaba P.","non-dropping-particle":"","parse-names":false,"suffix":""},{"dropping-particle":"","family":"Yilmaz","given":"Mehmet Birhan","non-dropping-particle":"","parse-names":false,"suffix":""},{"dropping-particle":"","family":"Stough","given":"Wendy Gattis","non-dropping-particle":"","parse-names":false,"suffix":""},{"dropping-particle":"","family":"Gayat","given":"Etienne","non-dropping-particle":"","parse-names":false,"suffix":""},{"dropping-particle":"","family":"Pitt","given":"Bertram","non-dropping-particle":"","parse-names":false,"suffix":""},{"dropping-particle":"","family":"Zannad","given":"Faiez","non-dropping-particle":"","parse-names":false,"suffix":""},{"dropping-particle":"","family":"Mebazaa","given":"Alexandre","non-dropping-particle":"","parse-names":false,"suffix":""}],"container-title":"Pharmacological Research","id":"ITEM-1","issued":{"date-parts":[["2016"]]},"page":"585-591","publisher":"Elsevier Ltd","title":"Emergency management of severe hyperkalemia: Guideline for best practice and opportunities for the future","type":"article-journal","volume":"113"},"uris":["http://www.mendeley.com/documents/?uuid=da73902d-61cd-4c5b-ba57-fb315f5e967e"]},{"id":"ITEM-2","itemData":{"DOI":"10.1093/eurheartj/suy029","ISSN":"15542815","abstract":"Hyperkalaemia is a common electrolyte abnormality and can cause life-threatening cardiac arrhythmia. Even though it is common in patients with diabetes, heart failure, and kidney disease, there is poor consensus over its definition and wide variability in its treatment. Medications used to treat hyperkalaemia in the emergent setting do not have robust efficacy and safety data to guide treatment leading to mismanagement due to poor choice of some agents or inappropriate dosing of others. Moreover, the medications used in the emergent setting are at best temporizing measures, with dialysis being the definitive treatment. New and old k binder therapies provide means to excrete potassium, but their roles are unclear in the emergent setting. Electrocardiograms are the corner stones of hyperkalaemia management; however, recent studies show that they might manifest abnormalities infrequently, even in severe hyperkalaemia, thus questioning their role. With an aging population and a rise in rates of heart and kidney failure, hyperkalaemia is on the rise, and there is a need, now more than ever, to understand the efficacy and safety of the current medications and to develop newer ones.","author":[{"dropping-particle":"","family":"Rafique","given":"Zubaid","non-dropping-particle":"","parse-names":false,"suffix":""},{"dropping-particle":"","family":"Chouihed","given":"Tahar","non-dropping-particle":"","parse-names":false,"suffix":""},{"dropping-particle":"","family":"Mebazaa","given":"Alexandre","non-dropping-particle":"","parse-names":false,"suffix":""},{"dropping-particle":"","family":"Frank Peacock","given":"W.","non-dropping-particle":"","parse-names":false,"suffix":""}],"container-title":"European Heart Journal, Supplement","id":"ITEM-2","issued":{"date-parts":[["2019"]]},"page":"A12-A19","title":"Current treatment and unmet needs of hyperkalaemia in the emergency department","type":"article-journal","volume":"21"},"uris":["http://www.mendeley.com/documents/?uuid=d596f142-af5a-4e2e-8264-2f79e027245b"]},{"id":"ITEM-3","itemData":{"DOI":"10.1007/s11154-016-9384-x.Updates","ISBN":"2163684814","abstract":"file:///C:/Users/Marika/Desktop/università di pavia/articoli/strategie per l'infertilità/nihms964087.pdf","author":[{"dropping-particle":"","family":"Maxson &amp; Mitchell","given":"","non-dropping-particle":"","parse-names":false,"suffix":""}],"container-title":"Physiology &amp; behavior","id":"ITEM-3","issue":"1","issued":{"date-parts":[["2016"]]},"page":"139-148","title":"Updates in hyperkalemia: Outcomes and therapeutic strategies HHS Public Access","type":"article-journal","volume":"176"},"uris":["http://www.mendeley.com/documents/?uuid=5ac48f2e-8c25-4826-ac7c-eeecaf9509af"]}],"mendeley":{"formattedCitation":"(1,2,4)","plainTextFormattedCitation":"(1,2,4)","previouslyFormattedCitation":"(1,2,4)"},"properties":{"noteIndex":0},"schema":"https://github.com/citation-style-language/schema/raw/master/csl-citation.json"}</w:instrText>
      </w:r>
      <w:r w:rsidRPr="000C7C69">
        <w:fldChar w:fldCharType="separate"/>
      </w:r>
      <w:r w:rsidRPr="000C7C69">
        <w:t>(1,2,4)</w:t>
      </w:r>
      <w:r w:rsidRPr="000C7C69">
        <w:fldChar w:fldCharType="end"/>
      </w:r>
      <w:r w:rsidRPr="000C7C69">
        <w:t>. El Consejo Europeo de Reanimación (</w:t>
      </w:r>
      <w:proofErr w:type="spellStart"/>
      <w:r w:rsidRPr="000C7C69">
        <w:t>The</w:t>
      </w:r>
      <w:proofErr w:type="spellEnd"/>
      <w:r w:rsidRPr="000C7C69">
        <w:t xml:space="preserve"> </w:t>
      </w:r>
      <w:proofErr w:type="spellStart"/>
      <w:r w:rsidRPr="000C7C69">
        <w:t>European</w:t>
      </w:r>
      <w:proofErr w:type="spellEnd"/>
      <w:r w:rsidRPr="000C7C69">
        <w:t xml:space="preserve"> </w:t>
      </w:r>
      <w:proofErr w:type="spellStart"/>
      <w:r w:rsidRPr="000C7C69">
        <w:t>Resuscitation</w:t>
      </w:r>
      <w:proofErr w:type="spellEnd"/>
      <w:r w:rsidRPr="000C7C69">
        <w:t xml:space="preserve"> Council) recomienda la estratificación de la </w:t>
      </w:r>
      <w:proofErr w:type="spellStart"/>
      <w:r w:rsidRPr="000C7C69">
        <w:t>hiperpotasemia</w:t>
      </w:r>
      <w:proofErr w:type="spellEnd"/>
      <w:r w:rsidRPr="000C7C69">
        <w:t xml:space="preserve"> en leve (5,5-5,9 </w:t>
      </w:r>
      <w:proofErr w:type="spellStart"/>
      <w:r w:rsidRPr="000C7C69">
        <w:t>mmol</w:t>
      </w:r>
      <w:proofErr w:type="spellEnd"/>
      <w:r w:rsidRPr="000C7C69">
        <w:t xml:space="preserve">/L), moderada (6,0-6,4 </w:t>
      </w:r>
      <w:proofErr w:type="spellStart"/>
      <w:r w:rsidRPr="000C7C69">
        <w:t>mmol</w:t>
      </w:r>
      <w:proofErr w:type="spellEnd"/>
      <w:r w:rsidRPr="000C7C69">
        <w:t xml:space="preserve">/L) y grave (&gt;6,5 </w:t>
      </w:r>
      <w:proofErr w:type="spellStart"/>
      <w:r w:rsidRPr="000C7C69">
        <w:t>mmol</w:t>
      </w:r>
      <w:proofErr w:type="spellEnd"/>
      <w:r w:rsidRPr="000C7C69">
        <w:t xml:space="preserve">/L) para ayudar a la toma de decisiones clínicas </w:t>
      </w:r>
      <w:r w:rsidRPr="000C7C69">
        <w:fldChar w:fldCharType="begin" w:fldLock="1"/>
      </w:r>
      <w:r w:rsidRPr="000C7C69">
        <w:instrText>ADDIN CSL_CITATION {"citationItems":[{"id":"ITEM-1","itemData":{"DOI":"10.1016/j.resuscitation.2015.07.017","ISSN":"1873-1570 (Electronic)","PMID":"26477412","author":[{"dropping-particle":"","family":"Truhlář","given":"Anatolij","non-dropping-particle":"","parse-names":false,"suffix":""},{"dropping-particle":"","family":"Deakin","given":"Charles D","non-dropping-particle":"","parse-names":false,"suffix":""},{"dropping-particle":"","family":"Soar","given":"Jasmeet","non-dropping-particle":"","parse-names":false,"suffix":""},{"dropping-particle":"","family":"Khalifa","given":"Gamal Eldin Abbas","non-dropping-particle":"","parse-names":false,"suffix":""},{"dropping-particle":"","family":"Alfonzo","given":"Annette","non-dropping-particle":"","parse-names":false,"suffix":""},{"dropping-particle":"","family":"Bierens","given":"Joost J L M","non-dropping-particle":"","parse-names":false,"suffix":""},{"dropping-particle":"","family":"Brattebø","given":"Guttorm","non-dropping-particle":"","parse-names":false,"suffix":""},{"dropping-particle":"","family":"Brugger","given":"Hermann","non-dropping-particle":"","parse-names":false,"suffix":""},{"dropping-particle":"","family":"Dunning","given":"Joel","non-dropping-particle":"","parse-names":false,"suffix":""},{"dropping-particle":"","family":"Hunyadi-Antičević","given":"Silvija","non-dropping-particle":"","parse-names":false,"suffix":""},{"dropping-particle":"","family":"Koster","given":"Rudolph W","non-dropping-particle":"","parse-names":false,"suffix":""},{"dropping-particle":"","family":"Lockey","given":"David J","non-dropping-particle":"","parse-names":false,"suffix":""},{"dropping-particle":"","family":"Lott","given":"Carsten","non-dropping-particle":"","parse-names":false,"suffix":""},{"dropping-particle":"","family":"Paal","given":"Peter","non-dropping-particle":"","parse-names":false,"suffix":""},{"dropping-particle":"","family":"Perkins","given":"Gavin D","non-dropping-particle":"","parse-names":false,"suffix":""},{"dropping-particle":"","family":"Sandroni","given":"Claudio","non-dropping-particle":"","parse-names":false,"suffix":""},{"dropping-particle":"","family":"Thies","given":"Karl-Christian","non-dropping-particle":"","parse-names":false,"suffix":""},{"dropping-particle":"","family":"Zideman","given":"David A","non-dropping-particle":"","parse-names":false,"suffix":""},{"dropping-particle":"","family":"Nolan","given":"Jerry P","non-dropping-particle":"","parse-names":false,"suffix":""}],"container-title":"Resuscitation","id":"ITEM-1","issued":{"date-parts":[["2015","10"]]},"language":"eng","page":"148-201","publisher-place":"Ireland","title":"European Resuscitation Council Guidelines for Resuscitation 2015: Section 4. Cardiac  arrest in special circumstances.","type":"article-journal","volume":"95"},"uris":["http://www.mendeley.com/documents/?uuid=6be653e1-a689-462f-ab1d-97878ce975d9"]}],"mendeley":{"formattedCitation":"(5)","plainTextFormattedCitation":"(5)","previouslyFormattedCitation":"(5)"},"properties":{"noteIndex":0},"schema":"https://github.com/citation-style-language/schema/raw/master/csl-citation.json"}</w:instrText>
      </w:r>
      <w:r w:rsidRPr="000C7C69">
        <w:fldChar w:fldCharType="separate"/>
      </w:r>
      <w:r w:rsidRPr="000C7C69">
        <w:t>(5)</w:t>
      </w:r>
      <w:r w:rsidRPr="000C7C69">
        <w:fldChar w:fldCharType="end"/>
      </w:r>
      <w:r w:rsidRPr="000C7C69">
        <w:t xml:space="preserve">. El tratamiento se basa en una estrategia de tres pasos, a saber, la </w:t>
      </w:r>
      <w:proofErr w:type="spellStart"/>
      <w:r w:rsidRPr="000C7C69">
        <w:t>cardioprotección</w:t>
      </w:r>
      <w:proofErr w:type="spellEnd"/>
      <w:r w:rsidRPr="000C7C69">
        <w:t>, el desplazamiento celular de potasio y la eliminación de potasio.</w:t>
      </w:r>
    </w:p>
    <w:p w14:paraId="3ED805C7" w14:textId="77777777" w:rsidR="00024335" w:rsidRPr="000C7C69" w:rsidRDefault="00024335" w:rsidP="000C7C69">
      <w:pPr>
        <w:spacing w:line="480" w:lineRule="auto"/>
        <w:jc w:val="both"/>
      </w:pPr>
    </w:p>
    <w:p w14:paraId="006271D2" w14:textId="195BDDE1" w:rsidR="00024335" w:rsidRPr="000C7C69" w:rsidRDefault="00024335" w:rsidP="000C7C69">
      <w:pPr>
        <w:spacing w:line="480" w:lineRule="auto"/>
        <w:jc w:val="both"/>
      </w:pPr>
      <w:r w:rsidRPr="000C7C69">
        <w:t xml:space="preserve">Los factores predisponentes para la </w:t>
      </w:r>
      <w:proofErr w:type="spellStart"/>
      <w:r w:rsidRPr="000C7C69">
        <w:t>hiperpotasemia</w:t>
      </w:r>
      <w:proofErr w:type="spellEnd"/>
      <w:r w:rsidRPr="000C7C69">
        <w:t xml:space="preserve"> implican un aumento de la ingesta/carga de potasio, una redistribución celular anormal, el empeoramiento de la capacidad ya disminuida de excretar el potasio en pacientes con ERC, o a </w:t>
      </w:r>
      <w:r w:rsidRPr="000C7C69">
        <w:lastRenderedPageBreak/>
        <w:t xml:space="preserve">menudo una combinación de estos factores. Otras dos comorbilidades que causan directa o indirectamente </w:t>
      </w:r>
      <w:proofErr w:type="spellStart"/>
      <w:r w:rsidRPr="000C7C69">
        <w:t>hiperpotasemia</w:t>
      </w:r>
      <w:proofErr w:type="spellEnd"/>
      <w:r w:rsidRPr="000C7C69">
        <w:t xml:space="preserve"> son la DM y las ECV</w:t>
      </w:r>
      <w:r w:rsidRPr="000C7C69">
        <w:fldChar w:fldCharType="begin" w:fldLock="1"/>
      </w:r>
      <w:r w:rsidRPr="000C7C69">
        <w:instrText>ADDIN CSL_CITATION {"citationItems":[{"id":"ITEM-1","itemData":{"DOI":"10.1007/s11154-016-9384-x.Updates","ISBN":"2163684814","abstract":"file:///C:/Users/Marika/Desktop/università di pavia/articoli/strategie per l'infertilità/nihms964087.pdf","author":[{"dropping-particle":"","family":"Maxson &amp; Mitchell","given":"","non-dropping-particle":"","parse-names":false,"suffix":""}],"container-title":"Physiology &amp; behavior","id":"ITEM-1","issue":"1","issued":{"date-parts":[["2016"]]},"page":"139-148","title":"Updates in hyperkalemia: Outcomes and therapeutic strategies HHS Public Access","type":"article-journal","volume":"176"},"uris":["http://www.mendeley.com/documents/?uuid=5ac48f2e-8c25-4826-ac7c-eeecaf9509af"]}],"mendeley":{"formattedCitation":"(2)","plainTextFormattedCitation":"(2)","previouslyFormattedCitation":"(2)"},"properties":{"noteIndex":0},"schema":"https://github.com/citation-style-language/schema/raw/master/csl-citation.json"}</w:instrText>
      </w:r>
      <w:r w:rsidRPr="000C7C69">
        <w:fldChar w:fldCharType="separate"/>
      </w:r>
      <w:r w:rsidRPr="000C7C69">
        <w:t>(2)</w:t>
      </w:r>
      <w:r w:rsidRPr="000C7C69">
        <w:fldChar w:fldCharType="end"/>
      </w:r>
      <w:r w:rsidRPr="000C7C69">
        <w:t xml:space="preserve">. Entre los medicamentos, los bloqueadores de los receptores beta-2 inhiben la producción de renina y dificultan la redistribución del potasio al espacio intracelular; la heparina inhibe la producción de aldosterona; y los glucósidos </w:t>
      </w:r>
      <w:proofErr w:type="spellStart"/>
      <w:r w:rsidRPr="000C7C69">
        <w:t>digitálicos</w:t>
      </w:r>
      <w:proofErr w:type="spellEnd"/>
      <w:r w:rsidRPr="000C7C69">
        <w:t xml:space="preserve"> bloquean la </w:t>
      </w:r>
      <w:proofErr w:type="spellStart"/>
      <w:r w:rsidRPr="000C7C69">
        <w:t>Na</w:t>
      </w:r>
      <w:proofErr w:type="spellEnd"/>
      <w:r w:rsidRPr="000C7C69">
        <w:t>-K-</w:t>
      </w:r>
      <w:proofErr w:type="spellStart"/>
      <w:r w:rsidRPr="000C7C69">
        <w:t>ATPasa</w:t>
      </w:r>
      <w:proofErr w:type="spellEnd"/>
      <w:r w:rsidRPr="000C7C69">
        <w:t xml:space="preserve"> y, por tanto, perjudican la secreción de potasio del conducto colector </w:t>
      </w:r>
      <w:r w:rsidRPr="000C7C69">
        <w:fldChar w:fldCharType="begin" w:fldLock="1"/>
      </w:r>
      <w:r w:rsidRPr="000C7C69">
        <w:instrText>ADDIN CSL_CITATION {"citationItems":[{"id":"ITEM-1","itemData":{"DOI":"10.1016/j.amjmed.2015.05.040","ISSN":"1555-7162 (Electronic)","PMID":"26093176","abstract":"Hyperkalemia is a clinically important electrolyte abnormality that occurs most  commonly in patients with chronic kidney disease. Due to its propensity to induce electrophysiological disturbances, severe hyperkalemia is considered a medical emergency. The management of acute and chronic hyperkalemia can be achieved through the implementation of various interventions, one of which is the elimination of medications that can raise serum potassium levels. Because many such medications (especially inhibitors of the renin-angiotensin aldosterone system) have shown beneficial effects in patients with cardiovascular and renal disease, their discontinuation for reasons of hyperkalemia represent an undesirable clinical compromise. The emergence of 2 new potassium-binding medications for acute and chronic therapy of hyperkalemia may soon allow the continued use of medications such as renin-angiotensin-aldosterone system inhibitors even in patients who are prone to hyperkalemia. This review article provides an overview of the physiology and the pathophysiology of potassium metabolism and hyperkalemia, the epidemiology of hyperkalemia, and its acute and chronic management. We discuss in detail emerging data about new potassium-lowering therapies, and their potential future role in clinical practice.","author":[{"dropping-particle":"","family":"Kovesdy","given":"Csaba P","non-dropping-particle":"","parse-names":false,"suffix":""}],"container-title":"The American journal of medicine","id":"ITEM-1","issue":"12","issued":{"date-parts":[["2015","12"]]},"language":"eng","page":"1281-1287","publisher-place":"United States","title":"Management of Hyperkalemia: An Update for the Internist.","type":"article-journal","volume":"128"},"uris":["http://www.mendeley.com/documents/?uuid=145d56ad-1fbd-4cad-bcee-015fd6294e48"]}],"mendeley":{"formattedCitation":"(6)","plainTextFormattedCitation":"(6)","previouslyFormattedCitation":"(6)"},"properties":{"noteIndex":0},"schema":"https://github.com/citation-style-language/schema/raw/master/csl-citation.json"}</w:instrText>
      </w:r>
      <w:r w:rsidRPr="000C7C69">
        <w:fldChar w:fldCharType="separate"/>
      </w:r>
      <w:r w:rsidRPr="000C7C69">
        <w:t>(6)</w:t>
      </w:r>
      <w:r w:rsidRPr="000C7C69">
        <w:fldChar w:fldCharType="end"/>
      </w:r>
      <w:r w:rsidRPr="000C7C69">
        <w:t>.  (Ilustración 1).</w:t>
      </w:r>
    </w:p>
    <w:p w14:paraId="764CB702" w14:textId="77777777" w:rsidR="00024335" w:rsidRPr="000C7C69" w:rsidRDefault="00024335" w:rsidP="000C7C69">
      <w:pPr>
        <w:pStyle w:val="spsinstrucciones"/>
        <w:keepNext/>
        <w:spacing w:line="480" w:lineRule="auto"/>
      </w:pPr>
      <w:r w:rsidRPr="000C7C69">
        <w:rPr>
          <w:rFonts w:ascii="Times New Roman" w:hAnsi="Times New Roman" w:cs="Times New Roman (Cuerpo en alfa"/>
          <w:noProof/>
        </w:rPr>
        <w:drawing>
          <wp:inline distT="0" distB="0" distL="0" distR="0" wp14:anchorId="4D622025" wp14:editId="48781517">
            <wp:extent cx="5396230" cy="2249170"/>
            <wp:effectExtent l="0" t="0" r="127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ecanismo de acción hiperpotasemia.png"/>
                    <pic:cNvPicPr/>
                  </pic:nvPicPr>
                  <pic:blipFill>
                    <a:blip r:embed="rId8">
                      <a:extLst>
                        <a:ext uri="{28A0092B-C50C-407E-A947-70E740481C1C}">
                          <a14:useLocalDpi xmlns:a14="http://schemas.microsoft.com/office/drawing/2010/main" val="0"/>
                        </a:ext>
                      </a:extLst>
                    </a:blip>
                    <a:stretch>
                      <a:fillRect/>
                    </a:stretch>
                  </pic:blipFill>
                  <pic:spPr>
                    <a:xfrm>
                      <a:off x="0" y="0"/>
                      <a:ext cx="5396230" cy="2249170"/>
                    </a:xfrm>
                    <a:prstGeom prst="rect">
                      <a:avLst/>
                    </a:prstGeom>
                  </pic:spPr>
                </pic:pic>
              </a:graphicData>
            </a:graphic>
          </wp:inline>
        </w:drawing>
      </w:r>
    </w:p>
    <w:p w14:paraId="791E7612" w14:textId="77777777" w:rsidR="00024335" w:rsidRPr="000C7C69" w:rsidRDefault="00024335" w:rsidP="000C7C69">
      <w:pPr>
        <w:pStyle w:val="Descripcin"/>
        <w:jc w:val="both"/>
        <w:rPr>
          <w:sz w:val="16"/>
          <w:szCs w:val="16"/>
        </w:rPr>
      </w:pPr>
      <w:r w:rsidRPr="000C7C69">
        <w:rPr>
          <w:sz w:val="16"/>
          <w:szCs w:val="16"/>
        </w:rPr>
        <w:t xml:space="preserve">Ilustración </w:t>
      </w:r>
      <w:r w:rsidRPr="000C7C69">
        <w:rPr>
          <w:sz w:val="16"/>
          <w:szCs w:val="16"/>
        </w:rPr>
        <w:fldChar w:fldCharType="begin"/>
      </w:r>
      <w:r w:rsidRPr="000C7C69">
        <w:rPr>
          <w:sz w:val="16"/>
          <w:szCs w:val="16"/>
        </w:rPr>
        <w:instrText xml:space="preserve"> SEQ Ilustración \* ARABIC </w:instrText>
      </w:r>
      <w:r w:rsidRPr="000C7C69">
        <w:rPr>
          <w:sz w:val="16"/>
          <w:szCs w:val="16"/>
        </w:rPr>
        <w:fldChar w:fldCharType="separate"/>
      </w:r>
      <w:r w:rsidRPr="000C7C69">
        <w:rPr>
          <w:noProof/>
          <w:sz w:val="16"/>
          <w:szCs w:val="16"/>
        </w:rPr>
        <w:t>1</w:t>
      </w:r>
      <w:r w:rsidRPr="000C7C69">
        <w:rPr>
          <w:sz w:val="16"/>
          <w:szCs w:val="16"/>
        </w:rPr>
        <w:fldChar w:fldCharType="end"/>
      </w:r>
      <w:r w:rsidRPr="000C7C69">
        <w:rPr>
          <w:sz w:val="16"/>
          <w:szCs w:val="16"/>
        </w:rPr>
        <w:t xml:space="preserve">: Mecanismos de acción del desarrollo de </w:t>
      </w:r>
      <w:proofErr w:type="spellStart"/>
      <w:r w:rsidRPr="000C7C69">
        <w:rPr>
          <w:sz w:val="16"/>
          <w:szCs w:val="16"/>
        </w:rPr>
        <w:t>hiperpotasemia</w:t>
      </w:r>
      <w:proofErr w:type="spellEnd"/>
      <w:r w:rsidRPr="000C7C69">
        <w:rPr>
          <w:sz w:val="16"/>
          <w:szCs w:val="16"/>
        </w:rPr>
        <w:t xml:space="preserve"> en pacientes con enfermedad renal crónica y condiciones </w:t>
      </w:r>
      <w:proofErr w:type="spellStart"/>
      <w:r w:rsidRPr="000C7C69">
        <w:rPr>
          <w:sz w:val="16"/>
          <w:szCs w:val="16"/>
        </w:rPr>
        <w:t>comórbidas</w:t>
      </w:r>
      <w:proofErr w:type="spellEnd"/>
      <w:r w:rsidRPr="000C7C69">
        <w:rPr>
          <w:sz w:val="16"/>
          <w:szCs w:val="16"/>
        </w:rPr>
        <w:t xml:space="preserve"> asociadas. </w:t>
      </w:r>
    </w:p>
    <w:p w14:paraId="4786CFC5" w14:textId="18C5D8E5" w:rsidR="00024335" w:rsidRPr="000C7C69" w:rsidRDefault="00024335" w:rsidP="000C7C69">
      <w:pPr>
        <w:pStyle w:val="Descripcin"/>
        <w:jc w:val="both"/>
        <w:rPr>
          <w:sz w:val="16"/>
          <w:szCs w:val="16"/>
          <w:lang w:val="en-US"/>
        </w:rPr>
      </w:pPr>
      <w:r w:rsidRPr="000C7C69">
        <w:rPr>
          <w:i w:val="0"/>
          <w:iCs w:val="0"/>
          <w:sz w:val="16"/>
          <w:szCs w:val="16"/>
          <w:lang w:val="en-US"/>
        </w:rPr>
        <w:t xml:space="preserve">AKI, acute kidney injury; CKD, chronic kidney disease; CVD, cardiovascular disease; DM, diabetes mellitus; GFR, glomerular filtration rate; RAAS, renin-angiotensin aldosterone system </w:t>
      </w:r>
    </w:p>
    <w:p w14:paraId="719DA318" w14:textId="79266F8C" w:rsidR="00024335" w:rsidRDefault="00024335" w:rsidP="000C7C69">
      <w:pPr>
        <w:pStyle w:val="NormalWeb"/>
        <w:jc w:val="both"/>
        <w:rPr>
          <w:rFonts w:ascii="Arial" w:eastAsiaTheme="minorHAnsi" w:hAnsi="Arial" w:cstheme="minorBidi"/>
          <w:i/>
          <w:iCs/>
          <w:color w:val="44546A" w:themeColor="text2"/>
          <w:sz w:val="16"/>
          <w:szCs w:val="16"/>
          <w:lang w:eastAsia="en-US"/>
        </w:rPr>
      </w:pPr>
      <w:r w:rsidRPr="000C7C69">
        <w:rPr>
          <w:rFonts w:ascii="Arial" w:eastAsiaTheme="minorHAnsi" w:hAnsi="Arial" w:cstheme="minorBidi"/>
          <w:i/>
          <w:iCs/>
          <w:color w:val="44546A" w:themeColor="text2"/>
          <w:sz w:val="16"/>
          <w:szCs w:val="16"/>
          <w:lang w:val="en-US" w:eastAsia="en-US"/>
        </w:rPr>
        <w:t xml:space="preserve">Reprinted with permission from </w:t>
      </w:r>
      <w:proofErr w:type="spellStart"/>
      <w:r w:rsidRPr="000C7C69">
        <w:rPr>
          <w:rFonts w:ascii="Arial" w:eastAsiaTheme="minorHAnsi" w:hAnsi="Arial" w:cstheme="minorBidi"/>
          <w:i/>
          <w:iCs/>
          <w:color w:val="44546A" w:themeColor="text2"/>
          <w:sz w:val="16"/>
          <w:szCs w:val="16"/>
          <w:lang w:val="en-US" w:eastAsia="en-US"/>
        </w:rPr>
        <w:t>Kovesdy</w:t>
      </w:r>
      <w:proofErr w:type="spellEnd"/>
      <w:r w:rsidRPr="000C7C69">
        <w:rPr>
          <w:rFonts w:ascii="Arial" w:eastAsiaTheme="minorHAnsi" w:hAnsi="Arial" w:cstheme="minorBidi"/>
          <w:i/>
          <w:iCs/>
          <w:color w:val="44546A" w:themeColor="text2"/>
          <w:sz w:val="16"/>
          <w:szCs w:val="16"/>
          <w:lang w:val="en-US" w:eastAsia="en-US"/>
        </w:rPr>
        <w:t xml:space="preserve"> CP, Am J Med 128:1281–1287, 2015. </w:t>
      </w:r>
      <w:r w:rsidRPr="000C7C69">
        <w:rPr>
          <w:rFonts w:ascii="Arial" w:eastAsiaTheme="minorHAnsi" w:hAnsi="Arial" w:cstheme="minorBidi"/>
          <w:i/>
          <w:iCs/>
          <w:color w:val="44546A" w:themeColor="text2"/>
          <w:sz w:val="16"/>
          <w:szCs w:val="16"/>
          <w:lang w:eastAsia="en-US"/>
        </w:rPr>
        <w:fldChar w:fldCharType="begin" w:fldLock="1"/>
      </w:r>
      <w:r w:rsidRPr="000C7C69">
        <w:rPr>
          <w:rFonts w:ascii="Arial" w:eastAsiaTheme="minorHAnsi" w:hAnsi="Arial" w:cstheme="minorBidi"/>
          <w:i/>
          <w:iCs/>
          <w:color w:val="44546A" w:themeColor="text2"/>
          <w:sz w:val="16"/>
          <w:szCs w:val="16"/>
          <w:lang w:val="en-US" w:eastAsia="en-US"/>
        </w:rPr>
        <w:instrText>ADDIN CSL_CITATION {"citationItems":[{"id":"ITEM-1","itemData":{"DOI":"10.1016/j.amjmed.2015.05.040","ISSN":"1555-7162 (Electronic)","PMID":"26093176","abstract":"Hyperkalemia is a clinically important electrolyte abnormality that occurs most  commonly in patients with chronic kidney disease. Due to its propensity to induce electrophysiological disturbances, severe hyperkalemia is considered a medical emergency. The management of acute and chronic hyperkalemia can be achieved through the implementation of various interventions, one of which is the elimination of medications that can raise serum potassium levels. Because many such medications (especially inhibitors of the renin-angiotensin aldosterone system) have shown beneficial effects in patients with cardiovascular and renal disease, their discontinuation for reasons of hyperkalemia represent an undesirable clinical compromise. The emergence of 2 new potassium-binding medications for acute and chronic therapy of hyperkalemia may soon allow the continued use of medications such as renin-angiotensin-aldosterone system inhibitors even in patients who are prone to hyperkalemia. This review article provides an overview of the physiology and the pathophysiology of potassium metabolism and hyperkalemia, the epidemiology of hyperkalemia, and its acute and chronic management. We discuss in detail emerging data about new potassium-lowering therapies, and their potential future role in clinical practice.","author":[{"dropping-particle":"","family":"Kovesdy","given":"Csaba P","non-dropping-particle":"","parse-names":false,"suffix":""}],"container-title":"The American journal of medicine","id":"ITEM-1","issue":"12","issued":{"date-parts":[["2015","12"]]},"language":"eng","page":"1281-1287","publisher-place":"United States","title":"Management of Hyperkalemia: An Update for the Internist.","type":"article-journal","volume":"128"},"uris":["http://www.mendeley.com/documents/?uuid=145d56ad-1fbd-4cad-bcee-015fd6294e48"]}],"mendeley":{"formattedCitation":"(6)","plainTextFormattedCitation":"(6)","previouslyFormattedCitation":"(6)"},"properties":{"noteIndex":0},"schema":"https://github.com/citation-style-language/schema/raw/master/csl-citation.json"}</w:instrText>
      </w:r>
      <w:r w:rsidRPr="000C7C69">
        <w:rPr>
          <w:rFonts w:ascii="Arial" w:eastAsiaTheme="minorHAnsi" w:hAnsi="Arial" w:cstheme="minorBidi"/>
          <w:i/>
          <w:iCs/>
          <w:color w:val="44546A" w:themeColor="text2"/>
          <w:sz w:val="16"/>
          <w:szCs w:val="16"/>
          <w:lang w:eastAsia="en-US"/>
        </w:rPr>
        <w:fldChar w:fldCharType="separate"/>
      </w:r>
      <w:r w:rsidRPr="000C7C69">
        <w:rPr>
          <w:rFonts w:ascii="Arial" w:eastAsiaTheme="minorHAnsi" w:hAnsi="Arial" w:cstheme="minorBidi"/>
          <w:i/>
          <w:iCs/>
          <w:color w:val="44546A" w:themeColor="text2"/>
          <w:sz w:val="16"/>
          <w:szCs w:val="16"/>
          <w:lang w:eastAsia="en-US"/>
        </w:rPr>
        <w:t>(6)</w:t>
      </w:r>
      <w:r w:rsidRPr="000C7C69">
        <w:rPr>
          <w:rFonts w:ascii="Arial" w:eastAsiaTheme="minorHAnsi" w:hAnsi="Arial" w:cstheme="minorBidi"/>
          <w:i/>
          <w:iCs/>
          <w:color w:val="44546A" w:themeColor="text2"/>
          <w:sz w:val="16"/>
          <w:szCs w:val="16"/>
          <w:lang w:eastAsia="en-US"/>
        </w:rPr>
        <w:fldChar w:fldCharType="end"/>
      </w:r>
      <w:r w:rsidRPr="000C7C69">
        <w:rPr>
          <w:rFonts w:ascii="Arial" w:eastAsiaTheme="minorHAnsi" w:hAnsi="Arial" w:cstheme="minorBidi"/>
          <w:i/>
          <w:iCs/>
          <w:color w:val="44546A" w:themeColor="text2"/>
          <w:sz w:val="16"/>
          <w:szCs w:val="16"/>
          <w:lang w:eastAsia="en-US"/>
        </w:rPr>
        <w:t xml:space="preserve"> </w:t>
      </w:r>
    </w:p>
    <w:p w14:paraId="52924991" w14:textId="77777777" w:rsidR="000C7C69" w:rsidRPr="000C7C69" w:rsidRDefault="000C7C69" w:rsidP="000C7C69">
      <w:pPr>
        <w:pStyle w:val="NormalWeb"/>
        <w:jc w:val="both"/>
        <w:rPr>
          <w:rFonts w:ascii="Arial" w:eastAsiaTheme="minorHAnsi" w:hAnsi="Arial" w:cstheme="minorBidi"/>
          <w:i/>
          <w:iCs/>
          <w:color w:val="44546A" w:themeColor="text2"/>
          <w:sz w:val="16"/>
          <w:szCs w:val="16"/>
          <w:lang w:eastAsia="en-US"/>
        </w:rPr>
      </w:pPr>
    </w:p>
    <w:p w14:paraId="024DE6CD" w14:textId="76B782EB" w:rsidR="00024335" w:rsidRPr="000C7C69" w:rsidRDefault="00024335" w:rsidP="000C7C69">
      <w:pPr>
        <w:spacing w:line="480" w:lineRule="auto"/>
        <w:jc w:val="both"/>
      </w:pPr>
      <w:r w:rsidRPr="000C7C69">
        <w:t xml:space="preserve">Los paradigmas actuales de abordaje de la </w:t>
      </w:r>
      <w:proofErr w:type="spellStart"/>
      <w:r w:rsidRPr="000C7C69">
        <w:t>hiperpotasemia</w:t>
      </w:r>
      <w:proofErr w:type="spellEnd"/>
      <w:r w:rsidRPr="000C7C69">
        <w:t xml:space="preserve"> crónica se centran en la eliminación de los factores de predisposición, como la ingesta elevada de potasio en la dieta o los suplementos, y el uso de medicamentos que se sabe que elevan el nivel de potasio. Entre estos últimos, los </w:t>
      </w:r>
      <w:proofErr w:type="spellStart"/>
      <w:r w:rsidRPr="000C7C69">
        <w:t>RAASi</w:t>
      </w:r>
      <w:proofErr w:type="spellEnd"/>
      <w:r w:rsidRPr="000C7C69">
        <w:t xml:space="preserve">  son algunos de los medicamentos más utilizados, y su interrupción suele ser el primer paso que dan los médicos para prevenir la reaparición de la </w:t>
      </w:r>
      <w:proofErr w:type="spellStart"/>
      <w:r w:rsidRPr="000C7C69">
        <w:t>hiperpotasemia</w:t>
      </w:r>
      <w:proofErr w:type="spellEnd"/>
      <w:r w:rsidRPr="000C7C69">
        <w:t xml:space="preserve"> </w:t>
      </w:r>
      <w:r w:rsidRPr="000C7C69">
        <w:fldChar w:fldCharType="begin" w:fldLock="1"/>
      </w:r>
      <w:r w:rsidRPr="000C7C69">
        <w:instrText>ADDIN CSL_CITATION {"citationItems":[{"id":"ITEM-1","itemData":{"DOI":"10.1007/s11154-016-9384-x.Updates","ISBN":"2163684814","abstract":"file:///C:/Users/Marika/Desktop/università di pavia/articoli/strategie per l'infertilità/nihms964087.pdf","author":[{"dropping-particle":"","family":"Maxson &amp; Mitchell","given":"","non-dropping-particle":"","parse-names":false,"suffix":""}],"container-title":"Physiology &amp; behavior","id":"ITEM-1","issue":"1","issued":{"date-parts":[["2016"]]},"page":"139-148","title":"Updates in hyperkalemia: Outcomes and therapeutic strategies HHS Public Access","type":"article-journal","volume":"176"},"uris":["http://www.mendeley.com/documents/?uuid=5ac48f2e-8c25-4826-ac7c-eeecaf9509af"]},{"id":"ITEM-2","itemData":{"DOI":"10.1038/nrneph.2014.168","ISSN":"1759-507X (Electronic)","PMID":"25223988","abstract":"Hyperkalaemia is common in patients with chronic kidney disease (CKD), in part  because of the effects of kidney dysfunction on potassium homeostasis and in part because of the cluster of comorbidities (and their associated treatments) that occur in patients with CKD. Owing to its electrophysiological effects, severe hyperkalaemia represents a medical emergency that usually requires prompt intervention, whereas the prevention of hazardous hyperkalaemic episodes in at-risk patients requires measures aimed at the long-term normalization of potassium homeostasis. The options for effective and safe medical interventions to restore chronic potassium balance are few, and long-term management of hyperkalaemia is primarily limited to the correction of modifiable exacerbating factors. This situation can result in a difficult trade-off in patients with CKD, because drugs that are beneficial to these patients (for example, renin-angiotensin-aldosterone-system antagonists) are often the most prominent cause of their hyperkalaemia. Maintaining the use of these beneficial medications while implementing various strategies to control potassium balance is desirable; however, discontinuation rates remain high. The emergence of new medications that specifically target hyperkalaemia could lead to a therapeutic paradigm shift, emphasizing preventive management over ad hoc treatment of incidentally discovered elevations in serum potassium levels.","author":[{"dropping-particle":"","family":"Kovesdy","given":"Csaba P","non-dropping-particle":"","parse-names":false,"suffix":""}],"container-title":"Nature reviews. Nephrology","id":"ITEM-2","issue":"11","issued":{"date-parts":[["2014","11"]]},"language":"eng","page":"653-662","publisher-place":"England","title":"Management of hyperkalaemia in chronic kidney disease.","type":"article-journal","volume":"10"},"uris":["http://www.mendeley.com/documents/?uuid=6235fa9e-565b-48a8-bb25-c1c8c5001daa"]}],"mendeley":{"formattedCitation":"(2,7)","plainTextFormattedCitation":"(2,7)","previouslyFormattedCitation":"(2,7)"},"properties":{"noteIndex":0},"schema":"https://github.com/citation-style-language/schema/raw/master/csl-citation.json"}</w:instrText>
      </w:r>
      <w:r w:rsidRPr="000C7C69">
        <w:fldChar w:fldCharType="separate"/>
      </w:r>
      <w:r w:rsidRPr="000C7C69">
        <w:t>(2,7)</w:t>
      </w:r>
      <w:r w:rsidRPr="000C7C69">
        <w:fldChar w:fldCharType="end"/>
      </w:r>
      <w:r w:rsidRPr="000C7C69">
        <w:t xml:space="preserve">. Si bien esta estrategia suele tener éxito, también priva a los pacientes de los beneficios </w:t>
      </w:r>
      <w:r w:rsidRPr="000C7C69">
        <w:lastRenderedPageBreak/>
        <w:t xml:space="preserve">reconocidos de esta clase, como sus efectos </w:t>
      </w:r>
      <w:proofErr w:type="spellStart"/>
      <w:r w:rsidRPr="000C7C69">
        <w:t>cardio</w:t>
      </w:r>
      <w:proofErr w:type="spellEnd"/>
      <w:r w:rsidRPr="000C7C69">
        <w:t xml:space="preserve"> y </w:t>
      </w:r>
      <w:proofErr w:type="spellStart"/>
      <w:r w:rsidRPr="000C7C69">
        <w:t>renoprotectores</w:t>
      </w:r>
      <w:proofErr w:type="spellEnd"/>
      <w:r w:rsidRPr="000C7C69">
        <w:t xml:space="preserve"> </w:t>
      </w:r>
      <w:r w:rsidRPr="000C7C69">
        <w:fldChar w:fldCharType="begin" w:fldLock="1"/>
      </w:r>
      <w:r w:rsidRPr="000C7C69">
        <w:instrText>ADDIN CSL_CITATION {"citationItems":[{"id":"ITEM-1","itemData":{"DOI":"10.1016/s1131-3587(08)76104-1","ISSN":"11313587","abstract":"Blockade of the renin-angiotensin system with angiotensin-converting enzyme (ACE) inhibitors or angiotensin-II receptor antagonists has proved effective in hypertensive individuals with or without cardiovascular disease and also in normotensive individuals at a high cardiovascular risk. Moreover, due to their additional antiproteinuric effects, these drugs could also provide first-line therapy for patients with incipient or established diabetic nephropathy. Similarly, they could be the drugs of first choice in patients with non-diabetic nephropathy and a 24-hour urinary protein excretion &gt;0.5 g. Comparative studies of ACE inhibitors and angiotensin-II type-1 receptor antagonists have shown that they appear to have a similar efficacy though the latter drugs are better tolerated. In patients with nephropathy, combinations of these two classes of drug have been found to have a greater antiproteinuric effect than monotherapy. However, it is not known whether this effect is independent of the greater reduction in blood pressure.","author":[{"dropping-particle":"","family":"Marín","given":"Rafael","non-dropping-particle":"","parse-names":false,"suffix":""},{"dropping-particle":"","family":"Álvarez-Navascués","given":"Rafael","non-dropping-particle":"","parse-names":false,"suffix":""},{"dropping-particle":"","family":"Fernández-Vega","given":"Francisco","non-dropping-particle":"","parse-names":false,"suffix":""}],"container-title":"Revista Espanola de Cardiologia Suplementos","id":"ITEM-1","issue":"E","issued":{"date-parts":[["2008"]]},"title":"Bloqueo del sistema renina-angiotensina-aldosterona en hipertensión arterial, diabetes y nefropatía","type":"article-journal","volume":"8"},"uris":["http://www.mendeley.com/documents/?uuid=59f92840-d6c3-4e50-b421-54ed89193a4f"]}],"mendeley":{"formattedCitation":"(8)","plainTextFormattedCitation":"(8)","previouslyFormattedCitation":"(8)"},"properties":{"noteIndex":0},"schema":"https://github.com/citation-style-language/schema/raw/master/csl-citation.json"}</w:instrText>
      </w:r>
      <w:r w:rsidRPr="000C7C69">
        <w:fldChar w:fldCharType="separate"/>
      </w:r>
      <w:r w:rsidRPr="000C7C69">
        <w:t>(8)</w:t>
      </w:r>
      <w:r w:rsidRPr="000C7C69">
        <w:fldChar w:fldCharType="end"/>
      </w:r>
      <w:r w:rsidRPr="000C7C69">
        <w:t xml:space="preserve">. La llegada de nuevas resinas de intercambio catiónico plantea un nuevo escenario clínico en el tratamiento de la </w:t>
      </w:r>
      <w:proofErr w:type="spellStart"/>
      <w:r w:rsidRPr="000C7C69">
        <w:t>hiperpotasemia</w:t>
      </w:r>
      <w:proofErr w:type="spellEnd"/>
      <w:r w:rsidRPr="000C7C69">
        <w:t xml:space="preserve"> crónica, al permitir el uso continuado de este grupo de medicamentos, beneficiándose el paciente de su efecto beneficioso a nivel cardiovascular. </w:t>
      </w:r>
    </w:p>
    <w:p w14:paraId="57499707" w14:textId="3C2F1EA5" w:rsidR="00024335" w:rsidRPr="000C7C69" w:rsidRDefault="00024335" w:rsidP="000C7C69">
      <w:pPr>
        <w:spacing w:line="480" w:lineRule="auto"/>
        <w:jc w:val="both"/>
      </w:pPr>
      <w:r w:rsidRPr="000C7C69">
        <w:t xml:space="preserve">El </w:t>
      </w:r>
      <w:proofErr w:type="spellStart"/>
      <w:r w:rsidRPr="000C7C69">
        <w:t>Patiromero</w:t>
      </w:r>
      <w:proofErr w:type="spellEnd"/>
      <w:r w:rsidRPr="000C7C69">
        <w:t xml:space="preserve"> (</w:t>
      </w:r>
      <w:proofErr w:type="spellStart"/>
      <w:r w:rsidRPr="000C7C69">
        <w:t>Veltassa</w:t>
      </w:r>
      <w:proofErr w:type="spellEnd"/>
      <w:r w:rsidRPr="000C7C69">
        <w:t xml:space="preserve">®) es un polímero no absorbible que intercambia el potasio con el calcio, y que recientemente ha sido aprobado por la FDA para el tratamiento de la </w:t>
      </w:r>
      <w:proofErr w:type="spellStart"/>
      <w:r w:rsidRPr="000C7C69">
        <w:t>hiperpotasemia</w:t>
      </w:r>
      <w:proofErr w:type="spellEnd"/>
      <w:r w:rsidRPr="000C7C69">
        <w:fldChar w:fldCharType="begin" w:fldLock="1"/>
      </w:r>
      <w:r w:rsidRPr="000C7C69">
        <w:instrText>ADDIN CSL_CITATION {"citationItems":[{"id":"ITEM-1","itemData":{"DOI":"10.1007/s11154-016-9384-x.Updates","ISBN":"2163684814","abstract":"file:///C:/Users/Marika/Desktop/università di pavia/articoli/strategie per l'infertilità/nihms964087.pdf","author":[{"dropping-particle":"","family":"Maxson &amp; Mitchell","given":"","non-dropping-particle":"","parse-names":false,"suffix":""}],"container-title":"Physiology &amp; behavior","id":"ITEM-1","issue":"1","issued":{"date-parts":[["2016"]]},"page":"139-148","title":"Updates in hyperkalemia: Outcomes and therapeutic strategies HHS Public Access","type":"article-journal","volume":"176"},"uris":["http://www.mendeley.com/documents/?uuid=5ac48f2e-8c25-4826-ac7c-eeecaf9509af"]},{"id":"ITEM-2","itemData":{"DOI":"10.1093/eurheartj/suy029","ISSN":"15542815","abstract":"Hyperkalaemia is a common electrolyte abnormality and can cause life-threatening cardiac arrhythmia. Even though it is common in patients with diabetes, heart failure, and kidney disease, there is poor consensus over its definition and wide variability in its treatment. Medications used to treat hyperkalaemia in the emergent setting do not have robust efficacy and safety data to guide treatment leading to mismanagement due to poor choice of some agents or inappropriate dosing of others. Moreover, the medications used in the emergent setting are at best temporizing measures, with dialysis being the definitive treatment. New and old k binder therapies provide means to excrete potassium, but their roles are unclear in the emergent setting. Electrocardiograms are the corner stones of hyperkalaemia management; however, recent studies show that they might manifest abnormalities infrequently, even in severe hyperkalaemia, thus questioning their role. With an aging population and a rise in rates of heart and kidney failure, hyperkalaemia is on the rise, and there is a need, now more than ever, to understand the efficacy and safety of the current medications and to develop newer ones.","author":[{"dropping-particle":"","family":"Rafique","given":"Zubaid","non-dropping-particle":"","parse-names":false,"suffix":""},{"dropping-particle":"","family":"Chouihed","given":"Tahar","non-dropping-particle":"","parse-names":false,"suffix":""},{"dropping-particle":"","family":"Mebazaa","given":"Alexandre","non-dropping-particle":"","parse-names":false,"suffix":""},{"dropping-particle":"","family":"Frank Peacock","given":"W.","non-dropping-particle":"","parse-names":false,"suffix":""}],"container-title":"European Heart Journal, Supplement","id":"ITEM-2","issued":{"date-parts":[["2019"]]},"page":"A12-A19","title":"Current treatment and unmet needs of hyperkalaemia in the emergency department","type":"article-journal","volume":"21"},"uris":["http://www.mendeley.com/documents/?uuid=d596f142-af5a-4e2e-8264-2f79e027245b"]}],"mendeley":{"formattedCitation":"(1,2)","plainTextFormattedCitation":"(1,2)","previouslyFormattedCitation":"(1,2)"},"properties":{"noteIndex":0},"schema":"https://github.com/citation-style-language/schema/raw/master/csl-citation.json"}</w:instrText>
      </w:r>
      <w:r w:rsidRPr="000C7C69">
        <w:fldChar w:fldCharType="separate"/>
      </w:r>
      <w:r w:rsidRPr="000C7C69">
        <w:t>(1,2)</w:t>
      </w:r>
      <w:r w:rsidRPr="000C7C69">
        <w:fldChar w:fldCharType="end"/>
      </w:r>
      <w:r w:rsidRPr="000C7C69">
        <w:t xml:space="preserve">. Diversos estudios han evidenciado la eficacia y seguridad de </w:t>
      </w:r>
      <w:proofErr w:type="spellStart"/>
      <w:r w:rsidRPr="000C7C69">
        <w:t>patiromer</w:t>
      </w:r>
      <w:proofErr w:type="spellEnd"/>
      <w:r w:rsidRPr="000C7C69">
        <w:t xml:space="preserve">, en comparación con </w:t>
      </w:r>
      <w:proofErr w:type="spellStart"/>
      <w:r w:rsidRPr="000C7C69">
        <w:t>poliestireno</w:t>
      </w:r>
      <w:proofErr w:type="spellEnd"/>
      <w:r w:rsidRPr="000C7C69">
        <w:t xml:space="preserve"> </w:t>
      </w:r>
      <w:proofErr w:type="spellStart"/>
      <w:r w:rsidRPr="000C7C69">
        <w:t>sulfonato</w:t>
      </w:r>
      <w:proofErr w:type="spellEnd"/>
      <w:r w:rsidRPr="000C7C69">
        <w:t xml:space="preserve"> de sodio (</w:t>
      </w:r>
      <w:proofErr w:type="spellStart"/>
      <w:r w:rsidRPr="000C7C69">
        <w:t>Resinsodio</w:t>
      </w:r>
      <w:proofErr w:type="spellEnd"/>
      <w:r w:rsidRPr="000C7C69">
        <w:t xml:space="preserve">®), en paciente con </w:t>
      </w:r>
      <w:proofErr w:type="spellStart"/>
      <w:r w:rsidRPr="000C7C69">
        <w:t>hiperpotasemia</w:t>
      </w:r>
      <w:proofErr w:type="spellEnd"/>
      <w:r w:rsidRPr="000C7C69">
        <w:t xml:space="preserve"> crónica y tratamiento concomitante con </w:t>
      </w:r>
      <w:proofErr w:type="spellStart"/>
      <w:r w:rsidRPr="000C7C69">
        <w:t>RAASi</w:t>
      </w:r>
      <w:proofErr w:type="spellEnd"/>
      <w:r w:rsidRPr="000C7C69">
        <w:t xml:space="preserve"> </w:t>
      </w:r>
      <w:r w:rsidRPr="000C7C69">
        <w:fldChar w:fldCharType="begin" w:fldLock="1"/>
      </w:r>
      <w:r w:rsidRPr="000C7C69">
        <w:instrText>ADDIN CSL_CITATION {"citationItems":[{"id":"ITEM-1","itemData":{"DOI":"10.1001/jama.2015.7446","ISSN":"1538-3598 (Electronic)","PMID":"26172895","abstract":"IMPORTANCE: Hyperkalemia is a potentially life-threatening condition predominantly  seen in patients treated with renin-angiotensin-aldosterone system (RAAS) inhibitors with stage 3 or greater chronic kidney disease (CKD) who may also have diabetes, heart failure, or both. OBJECTIVES: To select starting doses for a phase 3 study and to evaluate the long-term safety and efficacy of a potassium-binding polymer, patiromer, in outpatients with hyperkalemia. DESIGN, SETTING, AND PARTICIPANTS: Phase 2, multicenter, open-label, dose-ranging, randomized clinical trial (AMETHYST-DN), conducted at 48 sites in Europe from June 2011 to June 2013 evaluating patiromer in 306 outpatients with type 2 diabetes (estimated glomerular filtration rate, 15 to &lt;60 mL/min/1.73 m2 and serum potassium level &gt;5.0 mEq/L). All patients received RAAS inhibitors prior to and during study treatment. INTERVENTIONS: Patients were stratified by baseline serum potassium level into mild or moderate hyperkalemia groups and received 1 of 3 randomized starting doses of patiromer (4.2 g [n = 74], 8.4 g [n = 74], or 12.6 g [n = 74] twice daily [mild hyperkalemia] or 8.4 g [n = 26], 12.6 g [n = 28], or 16.8 g [n = 30] twice daily [moderate hyperkalemia]). Patiromer was titrated to achieve and maintain serum potassium level 5.0 mEq/L or lower. MAIN OUTCOMES AND MEASURES: The primary efficacy end point was mean change in serum potassium level from baseline to week 4 or prior to initiation of dose titration. The primary safety end point was adverse events through 52 weeks. Secondary efficacy end points included mean change in serum potassium level through 52 weeks. RESULTS: A total of 306 patients were randomized. The least squares mean reduction from baseline in serum potassium level at week 4 or time of first dose titration in patients with mild hyperkalemia was 0.35 (95% CI, 0.22-0.48) mEq/L for the 4.2 g twice daily starting-dose group, 0.51 (95% CI, 0.38-0.64) mEq/L for the 8.4 g twice daily starting-dose group, and 0.55 (95% CI, 0.42-0.68) mEq/L for the 12.6 g twice daily starting-dose group. In those with moderate hyperkalemia, the reduction was 0.87 (95% CI, 0.60-1.14) mEq/L for the 8.4 g twice daily starting-dose group, 0.97 (95% CI, 0.70-1.23) mEq/L for the 12.6 g twice daily starting-dose group, and 0.92 (95% CI, 0.67-1.17) mEq/L for the 16.8 g twice daily starting-dose group (P &lt; .001 for all changes vs baseline by hyperkalemia starting-dose groups within strata). From week 4 through we…","author":[{"dropping-particle":"","family":"Bakris","given":"George L","non-dropping-particle":"","parse-names":false,"suffix":""},{"dropping-particle":"","family":"Pitt","given":"Bertram","non-dropping-particle":"","parse-names":false,"suffix":""},{"dropping-particle":"","family":"Weir","given":"Matthew R","non-dropping-particle":"","parse-names":false,"suffix":""},{"dropping-particle":"","family":"Freeman","given":"Mason W","non-dropping-particle":"","parse-names":false,"suffix":""},{"dropping-particle":"","family":"Mayo","given":"Martha R","non-dropping-particle":"","parse-names":false,"suffix":""},{"dropping-particle":"","family":"Garza","given":"Dahlia","non-dropping-particle":"","parse-names":false,"suffix":""},{"dropping-particle":"","family":"Stasiv","given":"Yuri","non-dropping-particle":"","parse-names":false,"suffix":""},{"dropping-particle":"","family":"Zawadzki","given":"Rezi","non-dropping-particle":"","parse-names":false,"suffix":""},{"dropping-particle":"","family":"Berman","given":"Lance","non-dropping-particle":"","parse-names":false,"suffix":""},{"dropping-particle":"","family":"Bushinsky","given":"David A","non-dropping-particle":"","parse-names":false,"suffix":""}],"container-title":"JAMA","id":"ITEM-1","issue":"2","issued":{"date-parts":[["2015","7"]]},"language":"eng","page":"151-161","publisher-place":"United States","title":"Effect of Patiromer on Serum Potassium Level in Patients With Hyperkalemia and  Diabetic Kidney Disease: The AMETHYST-DN Randomized Clinical Trial.","type":"article-journal","volume":"314"},"uris":["http://www.mendeley.com/documents/?uuid=a5f41983-c301-4dbb-9cd4-88b10290b45e"]},{"id":"ITEM-2","itemData":{"DOI":"10.1056/NEJMoa1410853","ISSN":"1533-4406 (Electronic)","PMID":"25415805","abstract":"BACKGROUND: Hyperkalemia increases the risk of death and limits the use of  inhibitors of the renin-angiotensin-aldosterone system (RAAS) in high-risk patients. We assessed the safety and efficacy of patiromer, a nonabsorbed potassium binder, in a multicenter, prospective trial. METHODS: Patients with chronic kidney disease who were receiving RAAS inhibitors and who had serum potassium levels of 5.1 to less than 6.5 mmol per liter received patiromer (at an initial dose of 4.2 g or 8.4 g twice a day) for 4 weeks (initial treatment phase); the primary efficacy end point was the mean change in the serum potassium level from baseline to week 4. Eligible patients at the end of week 4 (those with a baseline potassium level of 5.5 to &lt;6.5 mmol per liter in whom the level decreased to 3.8 to &lt;5.1 mmol per liter) entered an 8-week randomized withdrawal phase in which they were randomly assigned to continue patiromer or switch to placebo; the primary efficacy end point was the between-group difference in the median change in the serum potassium level over the first 4 weeks of that phase. RESULTS: In the initial treatment phase, among 237 patients receiving patiromer who had at least one potassium measurement at a scheduled visit after day 3, the mean (±SE) change in the serum potassium level was -1.01±0.03 mmol per liter (P&lt;0.001). At week 4, 76% (95% confidence interval, 70 to 81) of the patients had reached the target potassium level (3.8 to &lt;5.1 mmol per liter). Subsequently, 107 patients were randomly assigned to patiromer (55 patients) or placebo (52 patients) for the randomized withdrawal phase. The median increase in the potassium level from baseline of that phase was greater with placebo than with patiromer (P&lt;0.001); a recurrence of hyperkalemia (potassium level, ≥5.5 mmol per liter) occurred in 60% of the patients in the placebo group as compared with 15% in the patiromer group through week 8 (P&lt;0.001). Mild-to-moderate constipation was the most common adverse event (in 11% of the patients); hypokalemia occurred in 3%. CONCLUSIONS: In patients with chronic kidney disease who were receiving RAAS inhibitors and who had hyperkalemia, patiromer treatment was associated with a decrease in serum potassium levels and, as compared with placebo, a reduction in the recurrence of hyperkalemia. (Funded by Relypsa; OPAL-HK ClinicalTrials.gov number, NCT01810939.).","author":[{"dropping-particle":"","family":"Weir","given":"Matthew R","non-dropping-particle":"","parse-names":false,"suffix":""},{"dropping-particle":"","family":"Bakris","given":"George L","non-dropping-particle":"","parse-names":false,"suffix":""},{"dropping-particle":"","family":"Bushinsky","given":"David A","non-dropping-particle":"","parse-names":false,"suffix":""},{"dropping-particle":"","family":"Mayo","given":"Martha R","non-dropping-particle":"","parse-names":false,"suffix":""},{"dropping-particle":"","family":"Garza","given":"Dahlia","non-dropping-particle":"","parse-names":false,"suffix":""},{"dropping-particle":"","family":"Stasiv","given":"Yuri","non-dropping-particle":"","parse-names":false,"suffix":""},{"dropping-particle":"","family":"Wittes","given":"Janet","non-dropping-particle":"","parse-names":false,"suffix":""},{"dropping-particle":"","family":"Christ-Schmidt","given":"Heidi","non-dropping-particle":"","parse-names":false,"suffix":""},{"dropping-particle":"","family":"Berman","given":"Lance","non-dropping-particle":"","parse-names":false,"suffix":""},{"dropping-particle":"","family":"Pitt","given":"Bertram","non-dropping-particle":"","parse-names":false,"suffix":""}],"container-title":"The New England journal of medicine","id":"ITEM-2","issue":"3","issued":{"date-parts":[["2015","1"]]},"language":"eng","page":"211-221","publisher-place":"United States","title":"Patiromer in patients with kidney disease and hyperkalemia receiving RAAS  inhibitors.","type":"article-journal","volume":"372"},"uris":["http://www.mendeley.com/documents/?uuid=3b046c87-8f6c-486e-b217-e8728b5e234a"]}],"mendeley":{"formattedCitation":"(9,10)","plainTextFormattedCitation":"(9,10)","previouslyFormattedCitation":"(9,10)"},"properties":{"noteIndex":0},"schema":"https://github.com/citation-style-language/schema/raw/master/csl-citation.json"}</w:instrText>
      </w:r>
      <w:r w:rsidRPr="000C7C69">
        <w:fldChar w:fldCharType="separate"/>
      </w:r>
      <w:r w:rsidRPr="000C7C69">
        <w:t>(9,10)</w:t>
      </w:r>
      <w:r w:rsidRPr="000C7C69">
        <w:fldChar w:fldCharType="end"/>
      </w:r>
      <w:r w:rsidRPr="000C7C69">
        <w:t xml:space="preserve">. </w:t>
      </w:r>
      <w:proofErr w:type="spellStart"/>
      <w:r w:rsidRPr="000C7C69">
        <w:t>Patiromero</w:t>
      </w:r>
      <w:proofErr w:type="spellEnd"/>
      <w:r w:rsidRPr="000C7C69">
        <w:t xml:space="preserve"> es generalmente bien tolerado tanto de forma aguda como a largo plazo. Los síntomas adversos más comunes están relacionados con el sistema gastrointestinal, el estreñimiento o la </w:t>
      </w:r>
      <w:proofErr w:type="spellStart"/>
      <w:r w:rsidRPr="000C7C69">
        <w:t>hipomagnesemia</w:t>
      </w:r>
      <w:proofErr w:type="spellEnd"/>
      <w:r w:rsidRPr="000C7C69">
        <w:t xml:space="preserve"> </w:t>
      </w:r>
      <w:r w:rsidRPr="000C7C69">
        <w:fldChar w:fldCharType="begin" w:fldLock="1"/>
      </w:r>
      <w:r w:rsidRPr="000C7C69">
        <w:instrText>ADDIN CSL_CITATION {"citationItems":[{"id":"ITEM-1","itemData":{"DOI":"10.1056/NEJMoa1410853","ISSN":"1533-4406 (Electronic)","PMID":"25415805","abstract":"BACKGROUND: Hyperkalemia increases the risk of death and limits the use of  inhibitors of the renin-angiotensin-aldosterone system (RAAS) in high-risk patients. We assessed the safety and efficacy of patiromer, a nonabsorbed potassium binder, in a multicenter, prospective trial. METHODS: Patients with chronic kidney disease who were receiving RAAS inhibitors and who had serum potassium levels of 5.1 to less than 6.5 mmol per liter received patiromer (at an initial dose of 4.2 g or 8.4 g twice a day) for 4 weeks (initial treatment phase); the primary efficacy end point was the mean change in the serum potassium level from baseline to week 4. Eligible patients at the end of week 4 (those with a baseline potassium level of 5.5 to &lt;6.5 mmol per liter in whom the level decreased to 3.8 to &lt;5.1 mmol per liter) entered an 8-week randomized withdrawal phase in which they were randomly assigned to continue patiromer or switch to placebo; the primary efficacy end point was the between-group difference in the median change in the serum potassium level over the first 4 weeks of that phase. RESULTS: In the initial treatment phase, among 237 patients receiving patiromer who had at least one potassium measurement at a scheduled visit after day 3, the mean (±SE) change in the serum potassium level was -1.01±0.03 mmol per liter (P&lt;0.001). At week 4, 76% (95% confidence interval, 70 to 81) of the patients had reached the target potassium level (3.8 to &lt;5.1 mmol per liter). Subsequently, 107 patients were randomly assigned to patiromer (55 patients) or placebo (52 patients) for the randomized withdrawal phase. The median increase in the potassium level from baseline of that phase was greater with placebo than with patiromer (P&lt;0.001); a recurrence of hyperkalemia (potassium level, ≥5.5 mmol per liter) occurred in 60% of the patients in the placebo group as compared with 15% in the patiromer group through week 8 (P&lt;0.001). Mild-to-moderate constipation was the most common adverse event (in 11% of the patients); hypokalemia occurred in 3%. CONCLUSIONS: In patients with chronic kidney disease who were receiving RAAS inhibitors and who had hyperkalemia, patiromer treatment was associated with a decrease in serum potassium levels and, as compared with placebo, a reduction in the recurrence of hyperkalemia. (Funded by Relypsa; OPAL-HK ClinicalTrials.gov number, NCT01810939.).","author":[{"dropping-particle":"","family":"Weir","given":"Matthew R","non-dropping-particle":"","parse-names":false,"suffix":""},{"dropping-particle":"","family":"Bakris","given":"George L","non-dropping-particle":"","parse-names":false,"suffix":""},{"dropping-particle":"","family":"Bushinsky","given":"David A","non-dropping-particle":"","parse-names":false,"suffix":""},{"dropping-particle":"","family":"Mayo","given":"Martha R","non-dropping-particle":"","parse-names":false,"suffix":""},{"dropping-particle":"","family":"Garza","given":"Dahlia","non-dropping-particle":"","parse-names":false,"suffix":""},{"dropping-particle":"","family":"Stasiv","given":"Yuri","non-dropping-particle":"","parse-names":false,"suffix":""},{"dropping-particle":"","family":"Wittes","given":"Janet","non-dropping-particle":"","parse-names":false,"suffix":""},{"dropping-particle":"","family":"Christ-Schmidt","given":"Heidi","non-dropping-particle":"","parse-names":false,"suffix":""},{"dropping-particle":"","family":"Berman","given":"Lance","non-dropping-particle":"","parse-names":false,"suffix":""},{"dropping-particle":"","family":"Pitt","given":"Bertram","non-dropping-particle":"","parse-names":false,"suffix":""}],"container-title":"The New England journal of medicine","id":"ITEM-1","issue":"3","issued":{"date-parts":[["2015","1"]]},"language":"eng","page":"211-221","publisher-place":"United States","title":"Patiromer in patients with kidney disease and hyperkalemia receiving RAAS  inhibitors.","type":"article-journal","volume":"372"},"uris":["http://www.mendeley.com/documents/?uuid=3b046c87-8f6c-486e-b217-e8728b5e234a"]}],"mendeley":{"formattedCitation":"(10)","plainTextFormattedCitation":"(10)","previouslyFormattedCitation":"(10)"},"properties":{"noteIndex":0},"schema":"https://github.com/citation-style-language/schema/raw/master/csl-citation.json"}</w:instrText>
      </w:r>
      <w:r w:rsidRPr="000C7C69">
        <w:fldChar w:fldCharType="separate"/>
      </w:r>
      <w:r w:rsidRPr="000C7C69">
        <w:t>(10)</w:t>
      </w:r>
      <w:r w:rsidRPr="000C7C69">
        <w:fldChar w:fldCharType="end"/>
      </w:r>
      <w:r w:rsidRPr="000C7C69">
        <w:t xml:space="preserve">. </w:t>
      </w:r>
    </w:p>
    <w:p w14:paraId="3D33D9CE" w14:textId="77777777" w:rsidR="00024335" w:rsidRPr="000C7C69" w:rsidRDefault="00024335" w:rsidP="000C7C69">
      <w:pPr>
        <w:spacing w:line="480" w:lineRule="auto"/>
        <w:jc w:val="both"/>
      </w:pPr>
      <w:r w:rsidRPr="000C7C69">
        <w:t xml:space="preserve">En este artículo se plantea, a tenor de un caso clínico, una revisión sobre el abordaje diagnóstico y terapéutico de la </w:t>
      </w:r>
      <w:proofErr w:type="spellStart"/>
      <w:r w:rsidRPr="000C7C69">
        <w:t>hiperpotasemia</w:t>
      </w:r>
      <w:proofErr w:type="spellEnd"/>
      <w:r w:rsidRPr="000C7C69">
        <w:t xml:space="preserve"> desde el servicio de urgencias hasta la unidad hospitalización a domicilio, haciendo especial hincapié en los nuevos agentes terapéuticos y los posibles beneficios de su aplicación.</w:t>
      </w:r>
    </w:p>
    <w:p w14:paraId="0F9E03E9" w14:textId="77777777" w:rsidR="00024335" w:rsidRDefault="00024335" w:rsidP="00064564"/>
    <w:p w14:paraId="428A7B3C" w14:textId="77777777" w:rsidR="00064564" w:rsidRDefault="00064564" w:rsidP="00064564">
      <w:pPr>
        <w:pStyle w:val="spslineablanca"/>
      </w:pPr>
      <w:r>
        <w:t xml:space="preserve">No borrar esta línea </w:t>
      </w:r>
      <w:r w:rsidR="001432B0">
        <w:t xml:space="preserve">(las </w:t>
      </w:r>
      <w:proofErr w:type="spellStart"/>
      <w:r w:rsidR="001432B0">
        <w:t>subsecc</w:t>
      </w:r>
      <w:proofErr w:type="spellEnd"/>
      <w:r w:rsidR="001432B0">
        <w:t>. de nivel 2 llevan 1 línea en blanco antes)</w:t>
      </w:r>
    </w:p>
    <w:p w14:paraId="6E1DE8B0" w14:textId="77777777" w:rsidR="00064564" w:rsidRDefault="00064564" w:rsidP="00064564">
      <w:pPr>
        <w:pStyle w:val="spslineablanca"/>
      </w:pPr>
      <w:r>
        <w:t xml:space="preserve">No borrar esta línea </w:t>
      </w:r>
      <w:r w:rsidR="001432B0">
        <w:t xml:space="preserve">(las </w:t>
      </w:r>
      <w:proofErr w:type="spellStart"/>
      <w:r w:rsidR="001432B0">
        <w:t>subsecc</w:t>
      </w:r>
      <w:proofErr w:type="spellEnd"/>
      <w:r w:rsidR="001432B0">
        <w:t>. de nivel 2 llevan 1 línea en blanco después)</w:t>
      </w:r>
    </w:p>
    <w:p w14:paraId="6A44AE2D" w14:textId="77777777" w:rsidR="00064564" w:rsidRDefault="00064564" w:rsidP="00064564">
      <w:pPr>
        <w:pStyle w:val="spslineablanca"/>
      </w:pPr>
      <w:r>
        <w:t>No borrar esta línea en blanco</w:t>
      </w:r>
    </w:p>
    <w:p w14:paraId="555A9D1A" w14:textId="77777777" w:rsidR="00064564" w:rsidRDefault="00064564" w:rsidP="00064564">
      <w:pPr>
        <w:pStyle w:val="spslineablanca"/>
      </w:pPr>
      <w:r>
        <w:t>No borrar esta línea en blanco</w:t>
      </w:r>
    </w:p>
    <w:p w14:paraId="7A6A209E" w14:textId="77777777" w:rsidR="00276E5C" w:rsidRDefault="000E0429" w:rsidP="00B23F11">
      <w:pPr>
        <w:pStyle w:val="spslineablanca"/>
      </w:pPr>
      <w:r>
        <w:t>No borrar esta línea en blanco</w:t>
      </w:r>
    </w:p>
    <w:p w14:paraId="54724F19" w14:textId="77777777" w:rsidR="00B23F11" w:rsidRDefault="000E0429" w:rsidP="00B23F11">
      <w:pPr>
        <w:pStyle w:val="spslineablanca"/>
      </w:pPr>
      <w:r>
        <w:t>No borrar esta línea en blanco</w:t>
      </w:r>
    </w:p>
    <w:p w14:paraId="63C7B5DE" w14:textId="77777777" w:rsidR="000C7C69" w:rsidRDefault="000C7C69" w:rsidP="00AE75BD">
      <w:pPr>
        <w:pStyle w:val="spstitsecc1"/>
        <w:rPr>
          <w:b w:val="0"/>
        </w:rPr>
      </w:pPr>
    </w:p>
    <w:p w14:paraId="4EF0F5FA" w14:textId="511D1551" w:rsidR="00AE75BD" w:rsidRPr="00AE75BD" w:rsidRDefault="00AE75BD" w:rsidP="00AE75BD">
      <w:pPr>
        <w:pStyle w:val="spstitsecc1"/>
      </w:pPr>
      <w:r w:rsidRPr="00AE75BD">
        <w:rPr>
          <w:b w:val="0"/>
        </w:rPr>
        <w:lastRenderedPageBreak/>
        <w:t>DESARROLLO DE LA EXPERIENCIA:</w:t>
      </w:r>
    </w:p>
    <w:p w14:paraId="280124E4" w14:textId="77777777" w:rsidR="00AE75BD" w:rsidRDefault="00AE75BD" w:rsidP="00B23F11">
      <w:pPr>
        <w:pStyle w:val="spstitsecc1"/>
      </w:pPr>
    </w:p>
    <w:p w14:paraId="0C47527A" w14:textId="77777777" w:rsidR="00B23F11" w:rsidRDefault="000E0429" w:rsidP="00B23F11">
      <w:pPr>
        <w:pStyle w:val="spslineablanca"/>
      </w:pPr>
      <w:r>
        <w:t>No borrar esta línea en blanco</w:t>
      </w:r>
    </w:p>
    <w:p w14:paraId="2733BD8E" w14:textId="77777777" w:rsidR="00B23F11" w:rsidRDefault="000E0429" w:rsidP="00B23F11">
      <w:pPr>
        <w:pStyle w:val="spslineablanca"/>
      </w:pPr>
      <w:r>
        <w:t>No borrar esta línea en blanco</w:t>
      </w:r>
    </w:p>
    <w:p w14:paraId="3B2BCF4E" w14:textId="77777777" w:rsidR="00B24E84" w:rsidRPr="000C7C69" w:rsidRDefault="00B24E84" w:rsidP="000C7C69">
      <w:pPr>
        <w:spacing w:line="480" w:lineRule="auto"/>
        <w:jc w:val="both"/>
        <w:rPr>
          <w:rFonts w:eastAsia="Times New Roman" w:cs="Arial"/>
          <w:color w:val="000000"/>
          <w:lang w:eastAsia="es-ES_tradnl"/>
        </w:rPr>
      </w:pPr>
      <w:r w:rsidRPr="000C7C69">
        <w:rPr>
          <w:rFonts w:eastAsia="Times New Roman" w:cs="Arial"/>
          <w:color w:val="000000"/>
          <w:lang w:eastAsia="es-ES_tradnl"/>
        </w:rPr>
        <w:t xml:space="preserve">Informamos de un caso clínico de una paciente de 67 años, extranjera, que es traída por ambulancia tras sospecha de ICTUS. A su llegada a urgencias presenta imposibilidad de movilización de ambos miembros superiores acompañado de astenia y malestar general de 5 horas de evolución. Refería cuadro de vómitos </w:t>
      </w:r>
      <w:proofErr w:type="spellStart"/>
      <w:r w:rsidRPr="000C7C69">
        <w:rPr>
          <w:rFonts w:eastAsia="Times New Roman" w:cs="Arial"/>
          <w:color w:val="000000"/>
          <w:lang w:eastAsia="es-ES_tradnl"/>
        </w:rPr>
        <w:t>autolimitados</w:t>
      </w:r>
      <w:proofErr w:type="spellEnd"/>
      <w:r w:rsidRPr="000C7C69">
        <w:rPr>
          <w:rFonts w:eastAsia="Times New Roman" w:cs="Arial"/>
          <w:color w:val="000000"/>
          <w:lang w:eastAsia="es-ES_tradnl"/>
        </w:rPr>
        <w:t xml:space="preserve"> hace 2 días, sin alteraciones en el lenguaje, desviación de la comisura bucal u otra clínica sobreañadida. Como antecedentes personales a destacar presentaba una HTA controlada con </w:t>
      </w:r>
      <w:proofErr w:type="spellStart"/>
      <w:r w:rsidRPr="000C7C69">
        <w:rPr>
          <w:rFonts w:eastAsia="Times New Roman" w:cs="Arial"/>
          <w:color w:val="000000"/>
          <w:lang w:eastAsia="es-ES_tradnl"/>
        </w:rPr>
        <w:t>amlodipino</w:t>
      </w:r>
      <w:proofErr w:type="spellEnd"/>
      <w:r w:rsidRPr="000C7C69">
        <w:rPr>
          <w:rFonts w:eastAsia="Times New Roman" w:cs="Arial"/>
          <w:color w:val="000000"/>
          <w:lang w:eastAsia="es-ES_tradnl"/>
        </w:rPr>
        <w:t xml:space="preserve"> 10mg, </w:t>
      </w:r>
      <w:proofErr w:type="spellStart"/>
      <w:r w:rsidRPr="000C7C69">
        <w:rPr>
          <w:rFonts w:eastAsia="Times New Roman" w:cs="Arial"/>
          <w:color w:val="000000"/>
          <w:lang w:eastAsia="es-ES_tradnl"/>
        </w:rPr>
        <w:t>enalapril</w:t>
      </w:r>
      <w:proofErr w:type="spellEnd"/>
      <w:r w:rsidRPr="000C7C69">
        <w:rPr>
          <w:rFonts w:eastAsia="Times New Roman" w:cs="Arial"/>
          <w:color w:val="000000"/>
          <w:lang w:eastAsia="es-ES_tradnl"/>
        </w:rPr>
        <w:t xml:space="preserve"> 10mg y </w:t>
      </w:r>
      <w:proofErr w:type="spellStart"/>
      <w:r w:rsidRPr="000C7C69">
        <w:rPr>
          <w:rFonts w:eastAsia="Times New Roman" w:cs="Arial"/>
          <w:color w:val="000000"/>
          <w:lang w:eastAsia="es-ES_tradnl"/>
        </w:rPr>
        <w:t>metroprolol</w:t>
      </w:r>
      <w:proofErr w:type="spellEnd"/>
      <w:r w:rsidRPr="000C7C69">
        <w:rPr>
          <w:rFonts w:eastAsia="Times New Roman" w:cs="Arial"/>
          <w:color w:val="000000"/>
          <w:lang w:eastAsia="es-ES_tradnl"/>
        </w:rPr>
        <w:t xml:space="preserve"> 25mg, DM insulinodependiente y </w:t>
      </w:r>
      <w:proofErr w:type="spellStart"/>
      <w:r w:rsidRPr="000C7C69">
        <w:rPr>
          <w:rFonts w:eastAsia="Times New Roman" w:cs="Arial"/>
          <w:color w:val="000000"/>
          <w:lang w:eastAsia="es-ES_tradnl"/>
        </w:rPr>
        <w:t>nefrectomia</w:t>
      </w:r>
      <w:proofErr w:type="spellEnd"/>
      <w:r w:rsidRPr="000C7C69">
        <w:rPr>
          <w:rFonts w:eastAsia="Times New Roman" w:cs="Arial"/>
          <w:color w:val="000000"/>
          <w:lang w:eastAsia="es-ES_tradnl"/>
        </w:rPr>
        <w:t xml:space="preserve"> por cáncer renal en 2016. Ante hallazgos en exploración física y electrocardiograma (ECG) (imagen 1), se plantea diagnóstico de </w:t>
      </w:r>
      <w:proofErr w:type="spellStart"/>
      <w:r w:rsidRPr="000C7C69">
        <w:rPr>
          <w:rFonts w:eastAsia="Times New Roman" w:cs="Arial"/>
          <w:color w:val="000000"/>
          <w:lang w:eastAsia="es-ES_tradnl"/>
        </w:rPr>
        <w:t>hiperpotasemia</w:t>
      </w:r>
      <w:proofErr w:type="spellEnd"/>
      <w:r w:rsidRPr="000C7C69">
        <w:rPr>
          <w:rFonts w:eastAsia="Times New Roman" w:cs="Arial"/>
          <w:color w:val="000000"/>
          <w:lang w:eastAsia="es-ES_tradnl"/>
        </w:rPr>
        <w:t xml:space="preserve"> administrándose bolo </w:t>
      </w:r>
      <w:proofErr w:type="spellStart"/>
      <w:r w:rsidRPr="000C7C69">
        <w:rPr>
          <w:rFonts w:eastAsia="Times New Roman" w:cs="Arial"/>
          <w:color w:val="000000"/>
          <w:lang w:eastAsia="es-ES_tradnl"/>
        </w:rPr>
        <w:t>gluconato</w:t>
      </w:r>
      <w:proofErr w:type="spellEnd"/>
      <w:r w:rsidRPr="000C7C69">
        <w:rPr>
          <w:rFonts w:eastAsia="Times New Roman" w:cs="Arial"/>
          <w:color w:val="000000"/>
          <w:lang w:eastAsia="es-ES_tradnl"/>
        </w:rPr>
        <w:t xml:space="preserve"> cálcico al 10% con repetición del ECG a los 10min, objetivando normalización en complejo QRS. Se solicita analítica sanguínea y TAC abdomen, dónde se aprecia un filtrado glomerular 6 mg/dl, urea 149 mg/dl, creatinina 7 mg/dl, CK 115 mg/dl, sodio 124 </w:t>
      </w:r>
      <w:proofErr w:type="spellStart"/>
      <w:r w:rsidRPr="000C7C69">
        <w:rPr>
          <w:rFonts w:eastAsia="Times New Roman" w:cs="Arial"/>
          <w:color w:val="000000"/>
          <w:lang w:eastAsia="es-ES_tradnl"/>
        </w:rPr>
        <w:t>mEq</w:t>
      </w:r>
      <w:proofErr w:type="spellEnd"/>
      <w:r w:rsidRPr="000C7C69">
        <w:rPr>
          <w:rFonts w:eastAsia="Times New Roman" w:cs="Arial"/>
          <w:color w:val="000000"/>
          <w:lang w:eastAsia="es-ES_tradnl"/>
        </w:rPr>
        <w:t xml:space="preserve">/L, potasio de 9.5 </w:t>
      </w:r>
      <w:proofErr w:type="spellStart"/>
      <w:r w:rsidRPr="000C7C69">
        <w:rPr>
          <w:rFonts w:eastAsia="Times New Roman" w:cs="Arial"/>
          <w:color w:val="000000"/>
          <w:lang w:eastAsia="es-ES_tradnl"/>
        </w:rPr>
        <w:t>mEq</w:t>
      </w:r>
      <w:proofErr w:type="spellEnd"/>
      <w:r w:rsidRPr="000C7C69">
        <w:rPr>
          <w:rFonts w:eastAsia="Times New Roman" w:cs="Arial"/>
          <w:color w:val="000000"/>
          <w:lang w:eastAsia="es-ES_tradnl"/>
        </w:rPr>
        <w:t xml:space="preserve">/L y litiasis obstructiva en tercio proximal uréter izquierdo junto con </w:t>
      </w:r>
      <w:proofErr w:type="spellStart"/>
      <w:r w:rsidRPr="000C7C69">
        <w:rPr>
          <w:rFonts w:eastAsia="Times New Roman" w:cs="Arial"/>
          <w:color w:val="000000"/>
          <w:lang w:eastAsia="es-ES_tradnl"/>
        </w:rPr>
        <w:t>uterohidronefrosis</w:t>
      </w:r>
      <w:proofErr w:type="spellEnd"/>
      <w:r w:rsidRPr="000C7C69">
        <w:rPr>
          <w:rFonts w:eastAsia="Times New Roman" w:cs="Arial"/>
          <w:color w:val="000000"/>
          <w:lang w:eastAsia="es-ES_tradnl"/>
        </w:rPr>
        <w:t xml:space="preserve"> grado III (Imagen 2). </w:t>
      </w:r>
    </w:p>
    <w:p w14:paraId="0374F614" w14:textId="1E764B19" w:rsidR="00D03D0E" w:rsidRDefault="00B23F11" w:rsidP="00B24E84">
      <w:r>
        <w:t xml:space="preserve">. </w:t>
      </w:r>
    </w:p>
    <w:p w14:paraId="39110248" w14:textId="77777777" w:rsidR="001B78A6" w:rsidRDefault="001B78A6" w:rsidP="001B78A6">
      <w:pPr>
        <w:pStyle w:val="spslineablanca"/>
      </w:pPr>
      <w:r>
        <w:t>No borrar esta línea en blanco</w:t>
      </w:r>
    </w:p>
    <w:p w14:paraId="4E370DE0" w14:textId="77777777" w:rsidR="00B24E84" w:rsidRDefault="00B24E84" w:rsidP="00B24E84">
      <w:pPr>
        <w:pStyle w:val="spslineablanca"/>
        <w:keepNext/>
      </w:pPr>
      <w:r>
        <w:rPr>
          <w:rFonts w:ascii="Times New Roman" w:eastAsia="Times New Roman" w:hAnsi="Times New Roman" w:cs="Times New Roman"/>
          <w:noProof/>
          <w:color w:val="000000"/>
          <w:lang w:val="es-ES" w:eastAsia="es-ES_tradnl"/>
        </w:rPr>
        <w:lastRenderedPageBreak/>
        <w:drawing>
          <wp:inline distT="0" distB="0" distL="0" distR="0" wp14:anchorId="02D4B795" wp14:editId="35938980">
            <wp:extent cx="5396230" cy="2839085"/>
            <wp:effectExtent l="0" t="0" r="1270" b="571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3640.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396230" cy="2839085"/>
                    </a:xfrm>
                    <a:prstGeom prst="rect">
                      <a:avLst/>
                    </a:prstGeom>
                  </pic:spPr>
                </pic:pic>
              </a:graphicData>
            </a:graphic>
          </wp:inline>
        </w:drawing>
      </w:r>
    </w:p>
    <w:p w14:paraId="44BCD539" w14:textId="748322D0" w:rsidR="00B24E84" w:rsidRPr="000C7C69" w:rsidRDefault="00B24E84" w:rsidP="00B24E84">
      <w:pPr>
        <w:pStyle w:val="Descripcin"/>
      </w:pPr>
      <w:r w:rsidRPr="000C7C69">
        <w:t xml:space="preserve">Imagen 1: Se aprecian un aplanamiento </w:t>
      </w:r>
      <w:r w:rsidRPr="000C7C69">
        <w:rPr>
          <w:i w:val="0"/>
          <w:iCs w:val="0"/>
        </w:rPr>
        <w:t xml:space="preserve">de onda P. Ondas T picudas en V2-V6 y elevación segmento ST en derivaciones inferiores (II, III y </w:t>
      </w:r>
      <w:proofErr w:type="spellStart"/>
      <w:r w:rsidRPr="000C7C69">
        <w:rPr>
          <w:i w:val="0"/>
          <w:iCs w:val="0"/>
        </w:rPr>
        <w:t>aVF</w:t>
      </w:r>
      <w:proofErr w:type="spellEnd"/>
      <w:r w:rsidRPr="000C7C69">
        <w:rPr>
          <w:i w:val="0"/>
          <w:iCs w:val="0"/>
        </w:rPr>
        <w:t>)</w:t>
      </w:r>
    </w:p>
    <w:p w14:paraId="73363AD0" w14:textId="75A5F879" w:rsidR="001B78A6" w:rsidRDefault="001B78A6" w:rsidP="001B78A6">
      <w:pPr>
        <w:pStyle w:val="spslineablanca"/>
      </w:pPr>
      <w:r>
        <w:t>No borrar esta línea en blanco</w:t>
      </w:r>
    </w:p>
    <w:p w14:paraId="2C51F163" w14:textId="77777777" w:rsidR="00B24E84" w:rsidRDefault="00B24E84" w:rsidP="00B24E84">
      <w:pPr>
        <w:pStyle w:val="spslineablanca"/>
        <w:keepNext/>
      </w:pPr>
      <w:r>
        <w:rPr>
          <w:rFonts w:ascii="Times New Roman" w:hAnsi="Times New Roman" w:cs="Times New Roman (Cuerpo en alfa"/>
          <w:noProof/>
          <w:color w:val="000000" w:themeColor="text1"/>
          <w:sz w:val="16"/>
          <w:szCs w:val="16"/>
          <w:lang w:val="es-ES"/>
        </w:rPr>
        <w:drawing>
          <wp:inline distT="0" distB="0" distL="0" distR="0" wp14:anchorId="3FEC2E1C" wp14:editId="62B1B5DF">
            <wp:extent cx="5396230" cy="4661535"/>
            <wp:effectExtent l="0" t="0" r="127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itiasis renal.jpg"/>
                    <pic:cNvPicPr/>
                  </pic:nvPicPr>
                  <pic:blipFill>
                    <a:blip r:embed="rId10">
                      <a:extLst>
                        <a:ext uri="{28A0092B-C50C-407E-A947-70E740481C1C}">
                          <a14:useLocalDpi xmlns:a14="http://schemas.microsoft.com/office/drawing/2010/main" val="0"/>
                        </a:ext>
                      </a:extLst>
                    </a:blip>
                    <a:stretch>
                      <a:fillRect/>
                    </a:stretch>
                  </pic:blipFill>
                  <pic:spPr>
                    <a:xfrm>
                      <a:off x="0" y="0"/>
                      <a:ext cx="5396230" cy="4661535"/>
                    </a:xfrm>
                    <a:prstGeom prst="rect">
                      <a:avLst/>
                    </a:prstGeom>
                  </pic:spPr>
                </pic:pic>
              </a:graphicData>
            </a:graphic>
          </wp:inline>
        </w:drawing>
      </w:r>
    </w:p>
    <w:p w14:paraId="7F58CC50" w14:textId="06712D15" w:rsidR="00B24E84" w:rsidRPr="00B24E84" w:rsidRDefault="00B24E84" w:rsidP="00B24E84">
      <w:pPr>
        <w:pStyle w:val="Descripcin"/>
      </w:pPr>
      <w:r>
        <w:t xml:space="preserve">Imagen 2: litiasis obstructiva en tercio </w:t>
      </w:r>
      <w:r w:rsidRPr="00B24E84">
        <w:t xml:space="preserve">proximal uréter izquierdo junto con </w:t>
      </w:r>
      <w:proofErr w:type="spellStart"/>
      <w:r w:rsidRPr="00B24E84">
        <w:t>uterohidronefrosis</w:t>
      </w:r>
      <w:proofErr w:type="spellEnd"/>
      <w:r w:rsidRPr="00B24E84">
        <w:t xml:space="preserve"> grado III</w:t>
      </w:r>
    </w:p>
    <w:p w14:paraId="109A9E5F" w14:textId="77777777" w:rsidR="00B24E84" w:rsidRPr="00B24E84" w:rsidRDefault="00B24E84" w:rsidP="00B23F11">
      <w:pPr>
        <w:pStyle w:val="spslineablanca"/>
        <w:rPr>
          <w:lang w:val="es-ES"/>
        </w:rPr>
      </w:pPr>
    </w:p>
    <w:p w14:paraId="4DE34F9A" w14:textId="74C51117" w:rsidR="00B23F11" w:rsidRDefault="00B23F11" w:rsidP="00B23F11">
      <w:pPr>
        <w:pStyle w:val="spslineablanca"/>
      </w:pPr>
      <w:r>
        <w:lastRenderedPageBreak/>
        <w:t>No borrar esta línea en blanco</w:t>
      </w:r>
    </w:p>
    <w:p w14:paraId="3982218B" w14:textId="77777777" w:rsidR="00B23F11" w:rsidRDefault="00B23F11" w:rsidP="00B23F11">
      <w:pPr>
        <w:pStyle w:val="spslineablanca"/>
      </w:pPr>
      <w:r>
        <w:t>No borrar esta línea en blanco</w:t>
      </w:r>
    </w:p>
    <w:p w14:paraId="1A39A698" w14:textId="77777777" w:rsidR="00B24E84" w:rsidRPr="000C7C69" w:rsidRDefault="00B24E84" w:rsidP="000C7C69">
      <w:pPr>
        <w:pStyle w:val="NormalWeb"/>
        <w:spacing w:line="480" w:lineRule="auto"/>
        <w:jc w:val="both"/>
        <w:rPr>
          <w:rFonts w:ascii="Arial" w:hAnsi="Arial" w:cs="Arial"/>
        </w:rPr>
      </w:pPr>
      <w:r w:rsidRPr="000C7C69">
        <w:rPr>
          <w:rFonts w:ascii="Arial" w:hAnsi="Arial" w:cs="Arial"/>
          <w:color w:val="000000"/>
        </w:rPr>
        <w:t xml:space="preserve">Durante el ingreso se realiza corrección de </w:t>
      </w:r>
      <w:proofErr w:type="spellStart"/>
      <w:r w:rsidRPr="000C7C69">
        <w:rPr>
          <w:rFonts w:ascii="Arial" w:hAnsi="Arial" w:cs="Arial"/>
          <w:color w:val="000000"/>
        </w:rPr>
        <w:t>hiperpotasemia</w:t>
      </w:r>
      <w:proofErr w:type="spellEnd"/>
      <w:r w:rsidRPr="000C7C69">
        <w:rPr>
          <w:rFonts w:ascii="Arial" w:hAnsi="Arial" w:cs="Arial"/>
          <w:color w:val="000000"/>
        </w:rPr>
        <w:t xml:space="preserve"> con insulina más glucosa al 50% y agonista beta-2 según algoritmo </w:t>
      </w:r>
      <w:r w:rsidRPr="000C7C69">
        <w:rPr>
          <w:rFonts w:ascii="Arial" w:hAnsi="Arial" w:cs="Arial"/>
          <w:color w:val="000000"/>
        </w:rPr>
        <w:fldChar w:fldCharType="begin" w:fldLock="1"/>
      </w:r>
      <w:r w:rsidRPr="000C7C69">
        <w:rPr>
          <w:rFonts w:ascii="Arial" w:hAnsi="Arial" w:cs="Arial"/>
          <w:color w:val="000000"/>
        </w:rPr>
        <w:instrText>ADDIN CSL_CITATION {"citationItems":[{"id":"ITEM-1","itemData":{"DOI":"10.1093/eurheartj/suy029","ISSN":"15542815","abstract":"Hyperkalaemia is a common electrolyte abnormality and can cause life-threatening cardiac arrhythmia. Even though it is common in patients with diabetes, heart failure, and kidney disease, there is poor consensus over its definition and wide variability in its treatment. Medications used to treat hyperkalaemia in the emergent setting do not have robust efficacy and safety data to guide treatment leading to mismanagement due to poor choice of some agents or inappropriate dosing of others. Moreover, the medications used in the emergent setting are at best temporizing measures, with dialysis being the definitive treatment. New and old k binder therapies provide means to excrete potassium, but their roles are unclear in the emergent setting. Electrocardiograms are the corner stones of hyperkalaemia management; however, recent studies show that they might manifest abnormalities infrequently, even in severe hyperkalaemia, thus questioning their role. With an aging population and a rise in rates of heart and kidney failure, hyperkalaemia is on the rise, and there is a need, now more than ever, to understand the efficacy and safety of the current medications and to develop newer ones.","author":[{"dropping-particle":"","family":"Rafique","given":"Zubaid","non-dropping-particle":"","parse-names":false,"suffix":""},{"dropping-particle":"","family":"Chouihed","given":"Tahar","non-dropping-particle":"","parse-names":false,"suffix":""},{"dropping-particle":"","family":"Mebazaa","given":"Alexandre","non-dropping-particle":"","parse-names":false,"suffix":""},{"dropping-particle":"","family":"Frank Peacock","given":"W.","non-dropping-particle":"","parse-names":false,"suffix":""}],"container-title":"European Heart Journal, Supplement","id":"ITEM-1","issued":{"date-parts":[["2019"]]},"page":"A12-A19","title":"Current treatment and unmet needs of hyperkalaemia in the emergency department","type":"article-journal","volume":"21"},"uris":["http://www.mendeley.com/documents/?uuid=d596f142-af5a-4e2e-8264-2f79e027245b"]}],"mendeley":{"formattedCitation":"(1)","plainTextFormattedCitation":"(1)"},"properties":{"noteIndex":0},"schema":"https://github.com/citation-style-language/schema/raw/master/csl-citation.json"}</w:instrText>
      </w:r>
      <w:r w:rsidRPr="000C7C69">
        <w:rPr>
          <w:rFonts w:ascii="Arial" w:hAnsi="Arial" w:cs="Arial"/>
          <w:color w:val="000000"/>
        </w:rPr>
        <w:fldChar w:fldCharType="separate"/>
      </w:r>
      <w:r w:rsidRPr="000C7C69">
        <w:rPr>
          <w:rFonts w:ascii="Arial" w:hAnsi="Arial" w:cs="Arial"/>
          <w:noProof/>
          <w:color w:val="000000"/>
        </w:rPr>
        <w:t>(1)</w:t>
      </w:r>
      <w:r w:rsidRPr="000C7C69">
        <w:rPr>
          <w:rFonts w:ascii="Arial" w:hAnsi="Arial" w:cs="Arial"/>
          <w:color w:val="000000"/>
        </w:rPr>
        <w:fldChar w:fldCharType="end"/>
      </w:r>
      <w:r w:rsidRPr="000C7C69">
        <w:rPr>
          <w:rFonts w:ascii="Arial" w:hAnsi="Arial" w:cs="Arial"/>
          <w:color w:val="000000"/>
        </w:rPr>
        <w:t xml:space="preserve">. Se procede en quirófano a </w:t>
      </w:r>
      <w:proofErr w:type="spellStart"/>
      <w:r w:rsidRPr="000C7C69">
        <w:rPr>
          <w:rFonts w:ascii="Arial" w:hAnsi="Arial" w:cs="Arial"/>
          <w:color w:val="000000"/>
        </w:rPr>
        <w:t>citoscopia</w:t>
      </w:r>
      <w:proofErr w:type="spellEnd"/>
      <w:r w:rsidRPr="000C7C69">
        <w:rPr>
          <w:rFonts w:ascii="Arial" w:hAnsi="Arial" w:cs="Arial"/>
          <w:color w:val="000000"/>
        </w:rPr>
        <w:t xml:space="preserve"> con colocación de doble J izquierdo. Finalmente, es remitido por el servicio de medicina interna a Unidad de </w:t>
      </w:r>
      <w:proofErr w:type="spellStart"/>
      <w:r w:rsidRPr="000C7C69">
        <w:rPr>
          <w:rFonts w:ascii="Arial" w:hAnsi="Arial" w:cs="Arial"/>
          <w:color w:val="000000"/>
        </w:rPr>
        <w:t>Hospitalización</w:t>
      </w:r>
      <w:proofErr w:type="spellEnd"/>
      <w:r w:rsidRPr="000C7C69">
        <w:rPr>
          <w:rFonts w:ascii="Arial" w:hAnsi="Arial" w:cs="Arial"/>
          <w:color w:val="000000"/>
        </w:rPr>
        <w:t xml:space="preserve"> a Domicilio de San Juan de Alicante para tratamiento de </w:t>
      </w:r>
      <w:proofErr w:type="spellStart"/>
      <w:r w:rsidRPr="000C7C69">
        <w:rPr>
          <w:rFonts w:ascii="Arial" w:hAnsi="Arial" w:cs="Arial"/>
          <w:color w:val="000000"/>
        </w:rPr>
        <w:t>hiperpotasemia</w:t>
      </w:r>
      <w:proofErr w:type="spellEnd"/>
      <w:r w:rsidRPr="000C7C69">
        <w:rPr>
          <w:rFonts w:ascii="Arial" w:hAnsi="Arial" w:cs="Arial"/>
          <w:color w:val="000000"/>
        </w:rPr>
        <w:t xml:space="preserve">. A la llegada a nuestra unidad, presenta un FG de 27 mg/dl, una creatinina de 3.7 mg/dl y potasio de 6,4 </w:t>
      </w:r>
      <w:proofErr w:type="spellStart"/>
      <w:r w:rsidRPr="000C7C69">
        <w:rPr>
          <w:rFonts w:ascii="Arial" w:hAnsi="Arial" w:cs="Arial"/>
          <w:color w:val="000000"/>
        </w:rPr>
        <w:t>mEq</w:t>
      </w:r>
      <w:proofErr w:type="spellEnd"/>
      <w:r w:rsidRPr="000C7C69">
        <w:rPr>
          <w:rFonts w:ascii="Arial" w:hAnsi="Arial" w:cs="Arial"/>
          <w:color w:val="000000"/>
        </w:rPr>
        <w:t xml:space="preserve">/L. Se decide iniciar tratamiento durante 5 días con furosemida 20mg iv y </w:t>
      </w:r>
      <w:proofErr w:type="spellStart"/>
      <w:r w:rsidRPr="000C7C69">
        <w:rPr>
          <w:rFonts w:ascii="Arial" w:hAnsi="Arial" w:cs="Arial"/>
          <w:color w:val="000000"/>
        </w:rPr>
        <w:t>patiromero</w:t>
      </w:r>
      <w:proofErr w:type="spellEnd"/>
      <w:r w:rsidRPr="000C7C69">
        <w:rPr>
          <w:rFonts w:ascii="Arial" w:hAnsi="Arial" w:cs="Arial"/>
          <w:color w:val="000000"/>
        </w:rPr>
        <w:t xml:space="preserve"> 8,4g vía oral diario manteniendo </w:t>
      </w:r>
      <w:proofErr w:type="spellStart"/>
      <w:r w:rsidRPr="000C7C69">
        <w:rPr>
          <w:rFonts w:ascii="Arial" w:hAnsi="Arial" w:cs="Arial"/>
          <w:color w:val="000000"/>
        </w:rPr>
        <w:t>enalapril</w:t>
      </w:r>
      <w:proofErr w:type="spellEnd"/>
      <w:r w:rsidRPr="000C7C69">
        <w:rPr>
          <w:rFonts w:ascii="Arial" w:hAnsi="Arial" w:cs="Arial"/>
          <w:color w:val="000000"/>
        </w:rPr>
        <w:t xml:space="preserve"> 10mg durante este periodo, presentando la paciente cifras </w:t>
      </w:r>
      <w:proofErr w:type="spellStart"/>
      <w:r w:rsidRPr="000C7C69">
        <w:rPr>
          <w:rFonts w:ascii="Arial" w:hAnsi="Arial" w:cs="Arial"/>
          <w:color w:val="000000"/>
        </w:rPr>
        <w:t>normotensionales</w:t>
      </w:r>
      <w:proofErr w:type="spellEnd"/>
      <w:r w:rsidRPr="000C7C69">
        <w:rPr>
          <w:rFonts w:ascii="Arial" w:hAnsi="Arial" w:cs="Arial"/>
          <w:color w:val="000000"/>
        </w:rPr>
        <w:t xml:space="preserve"> y una correcta diuresis durante curso clínico. A la valoración al 3º día la paciente refirió un cuadro de flatulencia y diarrea </w:t>
      </w:r>
      <w:proofErr w:type="spellStart"/>
      <w:r w:rsidRPr="000C7C69">
        <w:rPr>
          <w:rFonts w:ascii="Arial" w:hAnsi="Arial" w:cs="Arial"/>
          <w:color w:val="000000"/>
        </w:rPr>
        <w:t>autolimitada</w:t>
      </w:r>
      <w:proofErr w:type="spellEnd"/>
      <w:r w:rsidRPr="000C7C69">
        <w:rPr>
          <w:rFonts w:ascii="Arial" w:hAnsi="Arial" w:cs="Arial"/>
          <w:color w:val="000000"/>
        </w:rPr>
        <w:t xml:space="preserve"> ese mismo día, sin repercusión en cuadro clínico. Al día 6 de inicio de tratamiento se realiza analítica en sangre con valores de FG 31 mg/dl, creatinina de 2.6mg/dl, potasio de 5,1 mg/dl y calcio de 9.1 mg/dl. Ante resultados analíticos, se decide retirada de furosemida y continuidad de tratamiento con IECA y </w:t>
      </w:r>
      <w:proofErr w:type="spellStart"/>
      <w:r w:rsidRPr="000C7C69">
        <w:rPr>
          <w:rFonts w:ascii="Arial" w:hAnsi="Arial" w:cs="Arial"/>
          <w:color w:val="000000"/>
        </w:rPr>
        <w:t>patiromero</w:t>
      </w:r>
      <w:proofErr w:type="spellEnd"/>
      <w:r w:rsidRPr="000C7C69">
        <w:rPr>
          <w:rFonts w:ascii="Arial" w:hAnsi="Arial" w:cs="Arial"/>
          <w:color w:val="000000"/>
        </w:rPr>
        <w:t xml:space="preserve"> cálcico.</w:t>
      </w:r>
    </w:p>
    <w:p w14:paraId="4F9B7739" w14:textId="77777777" w:rsidR="00B24E84" w:rsidRPr="00B24E84" w:rsidRDefault="00B24E84" w:rsidP="004B0597">
      <w:pPr>
        <w:pStyle w:val="spslineablanca"/>
        <w:rPr>
          <w:lang w:val="es-ES"/>
        </w:rPr>
      </w:pPr>
    </w:p>
    <w:p w14:paraId="4F0ECFC6" w14:textId="65BE464A" w:rsidR="004B0597" w:rsidRDefault="0078002E" w:rsidP="004B0597">
      <w:pPr>
        <w:pStyle w:val="spslineablanca"/>
      </w:pPr>
      <w:r>
        <w:t>No borrar esta línea en blanco</w:t>
      </w:r>
    </w:p>
    <w:p w14:paraId="6987B5B7" w14:textId="77777777" w:rsidR="0078002E" w:rsidRDefault="0078002E" w:rsidP="0078002E">
      <w:pPr>
        <w:pStyle w:val="spslineablanca"/>
      </w:pPr>
      <w:r>
        <w:t>No borrar esta línea en blanco</w:t>
      </w:r>
    </w:p>
    <w:p w14:paraId="0CE4A897" w14:textId="77777777" w:rsidR="000E0429" w:rsidRDefault="000E0429" w:rsidP="000E0429">
      <w:pPr>
        <w:pStyle w:val="spslineablanca"/>
      </w:pPr>
      <w:r>
        <w:t>No borrar esta línea en blanco</w:t>
      </w:r>
    </w:p>
    <w:p w14:paraId="3B246300" w14:textId="77777777" w:rsidR="000E0429" w:rsidRDefault="000E0429" w:rsidP="000E0429">
      <w:pPr>
        <w:pStyle w:val="spslineablanca"/>
      </w:pPr>
      <w:r>
        <w:t>No borrar esta línea en blanco</w:t>
      </w:r>
    </w:p>
    <w:p w14:paraId="00719CE3" w14:textId="77777777" w:rsidR="000E0429" w:rsidRDefault="000E0429" w:rsidP="000E0429">
      <w:pPr>
        <w:pStyle w:val="spslineablanca"/>
      </w:pPr>
      <w:r>
        <w:t>No borrar esta línea en blanco</w:t>
      </w:r>
    </w:p>
    <w:p w14:paraId="219C5375" w14:textId="77777777" w:rsidR="000E0429" w:rsidRDefault="000E0429" w:rsidP="000E0429">
      <w:pPr>
        <w:pStyle w:val="spslineablanca"/>
      </w:pPr>
      <w:r>
        <w:t>No borrar esta línea en blanco</w:t>
      </w:r>
    </w:p>
    <w:p w14:paraId="0416C6DA" w14:textId="77777777" w:rsidR="000F655F" w:rsidRDefault="000F655F" w:rsidP="000F655F">
      <w:pPr>
        <w:pStyle w:val="spslineablanca"/>
      </w:pPr>
      <w:r>
        <w:t>No borrar esta línea en blanco</w:t>
      </w:r>
    </w:p>
    <w:p w14:paraId="55471280" w14:textId="77777777" w:rsidR="00FC29EC" w:rsidRDefault="00FC29EC" w:rsidP="00FC29EC">
      <w:pPr>
        <w:pStyle w:val="spslineablanca"/>
      </w:pPr>
      <w:r>
        <w:t>No borrar esta línea en blanco</w:t>
      </w:r>
    </w:p>
    <w:p w14:paraId="11548D2B" w14:textId="77777777" w:rsidR="00FC29EC" w:rsidRDefault="00FC29EC" w:rsidP="00FC29EC">
      <w:pPr>
        <w:pStyle w:val="spslineablanca"/>
      </w:pPr>
      <w:r>
        <w:t>No borrar esta línea en blanco</w:t>
      </w:r>
    </w:p>
    <w:p w14:paraId="061AF2EF" w14:textId="77777777" w:rsidR="00FC29EC" w:rsidRDefault="00F90CFE" w:rsidP="00F90CFE">
      <w:pPr>
        <w:pStyle w:val="spslineablanca"/>
      </w:pPr>
      <w:r>
        <w:lastRenderedPageBreak/>
        <w:t>No borrar esta línea en blanco</w:t>
      </w:r>
    </w:p>
    <w:p w14:paraId="09A4A337" w14:textId="77777777" w:rsidR="00FC29EC" w:rsidRDefault="00FC29EC" w:rsidP="00FC29EC">
      <w:pPr>
        <w:pStyle w:val="spslineablanca"/>
      </w:pPr>
      <w:r>
        <w:t>No borrar esta línea en blanco</w:t>
      </w:r>
    </w:p>
    <w:p w14:paraId="0C162384" w14:textId="77777777" w:rsidR="00FC29EC" w:rsidRDefault="00FC29EC" w:rsidP="00FC29EC">
      <w:pPr>
        <w:pStyle w:val="spslineablanca"/>
      </w:pPr>
      <w:r>
        <w:t>No borrar esta línea en blanco</w:t>
      </w:r>
    </w:p>
    <w:p w14:paraId="485D2AB6" w14:textId="08940AD3" w:rsidR="00FC29EC" w:rsidRDefault="001E10D9" w:rsidP="00FC29EC">
      <w:pPr>
        <w:pStyle w:val="spstitsecc1"/>
      </w:pPr>
      <w:r>
        <w:t>Discusión</w:t>
      </w:r>
    </w:p>
    <w:p w14:paraId="393C64F4" w14:textId="77777777" w:rsidR="00FC29EC" w:rsidRDefault="00FC29EC" w:rsidP="00FC29EC">
      <w:pPr>
        <w:pStyle w:val="spslineablanca"/>
      </w:pPr>
      <w:r>
        <w:t>No borrar esta línea en blanco</w:t>
      </w:r>
    </w:p>
    <w:p w14:paraId="5CF9C080" w14:textId="77777777" w:rsidR="00FC29EC" w:rsidRDefault="00FC29EC" w:rsidP="00FC29EC">
      <w:pPr>
        <w:pStyle w:val="spslineablanca"/>
      </w:pPr>
      <w:r>
        <w:t>No borrar esta línea en blanco</w:t>
      </w:r>
    </w:p>
    <w:p w14:paraId="189D6AD0" w14:textId="77777777" w:rsidR="00B24E84" w:rsidRPr="00B24E84" w:rsidRDefault="00B24E84" w:rsidP="000C7C69">
      <w:pPr>
        <w:spacing w:line="480" w:lineRule="auto"/>
        <w:jc w:val="both"/>
        <w:rPr>
          <w:lang w:val="pt-BR"/>
        </w:rPr>
      </w:pPr>
      <w:r w:rsidRPr="00B24E84">
        <w:rPr>
          <w:lang w:val="pt-BR"/>
        </w:rPr>
        <w:t xml:space="preserve">La </w:t>
      </w:r>
      <w:proofErr w:type="spellStart"/>
      <w:r w:rsidRPr="00B24E84">
        <w:rPr>
          <w:lang w:val="pt-BR"/>
        </w:rPr>
        <w:t>optimización</w:t>
      </w:r>
      <w:proofErr w:type="spellEnd"/>
      <w:r w:rsidRPr="00B24E84">
        <w:rPr>
          <w:lang w:val="pt-BR"/>
        </w:rPr>
        <w:t xml:space="preserve"> </w:t>
      </w:r>
      <w:proofErr w:type="spellStart"/>
      <w:r w:rsidRPr="00B24E84">
        <w:rPr>
          <w:lang w:val="pt-BR"/>
        </w:rPr>
        <w:t>en</w:t>
      </w:r>
      <w:proofErr w:type="spellEnd"/>
      <w:r w:rsidRPr="00B24E84">
        <w:rPr>
          <w:lang w:val="pt-BR"/>
        </w:rPr>
        <w:t xml:space="preserve"> </w:t>
      </w:r>
      <w:proofErr w:type="spellStart"/>
      <w:r w:rsidRPr="00B24E84">
        <w:rPr>
          <w:lang w:val="pt-BR"/>
        </w:rPr>
        <w:t>el</w:t>
      </w:r>
      <w:proofErr w:type="spellEnd"/>
      <w:r w:rsidRPr="00B24E84">
        <w:rPr>
          <w:lang w:val="pt-BR"/>
        </w:rPr>
        <w:t xml:space="preserve"> </w:t>
      </w:r>
      <w:proofErr w:type="spellStart"/>
      <w:r w:rsidRPr="00B24E84">
        <w:rPr>
          <w:lang w:val="pt-BR"/>
        </w:rPr>
        <w:t>tratamiento</w:t>
      </w:r>
      <w:proofErr w:type="spellEnd"/>
      <w:r w:rsidRPr="00B24E84">
        <w:rPr>
          <w:lang w:val="pt-BR"/>
        </w:rPr>
        <w:t xml:space="preserve"> de pacientes </w:t>
      </w:r>
      <w:proofErr w:type="spellStart"/>
      <w:r w:rsidRPr="00B24E84">
        <w:rPr>
          <w:lang w:val="pt-BR"/>
        </w:rPr>
        <w:t>pruripatológicos</w:t>
      </w:r>
      <w:proofErr w:type="spellEnd"/>
      <w:r w:rsidRPr="00B24E84">
        <w:rPr>
          <w:lang w:val="pt-BR"/>
        </w:rPr>
        <w:t xml:space="preserve"> es una de </w:t>
      </w:r>
      <w:proofErr w:type="spellStart"/>
      <w:r w:rsidRPr="00B24E84">
        <w:rPr>
          <w:lang w:val="pt-BR"/>
        </w:rPr>
        <w:t>los</w:t>
      </w:r>
      <w:proofErr w:type="spellEnd"/>
      <w:r w:rsidRPr="00B24E84">
        <w:rPr>
          <w:lang w:val="pt-BR"/>
        </w:rPr>
        <w:t xml:space="preserve"> objetivos de </w:t>
      </w:r>
      <w:proofErr w:type="spellStart"/>
      <w:r w:rsidRPr="00B24E84">
        <w:rPr>
          <w:lang w:val="pt-BR"/>
        </w:rPr>
        <w:t>los</w:t>
      </w:r>
      <w:proofErr w:type="spellEnd"/>
      <w:r w:rsidRPr="00B24E84">
        <w:rPr>
          <w:lang w:val="pt-BR"/>
        </w:rPr>
        <w:t xml:space="preserve"> cuidados paliativos. El aumento de </w:t>
      </w:r>
      <w:proofErr w:type="spellStart"/>
      <w:r w:rsidRPr="00B24E84">
        <w:rPr>
          <w:lang w:val="pt-BR"/>
        </w:rPr>
        <w:t>la</w:t>
      </w:r>
      <w:proofErr w:type="spellEnd"/>
      <w:r w:rsidRPr="00B24E84">
        <w:rPr>
          <w:lang w:val="pt-BR"/>
        </w:rPr>
        <w:t xml:space="preserve"> </w:t>
      </w:r>
      <w:proofErr w:type="spellStart"/>
      <w:r w:rsidRPr="00B24E84">
        <w:rPr>
          <w:lang w:val="pt-BR"/>
        </w:rPr>
        <w:t>prevalencia</w:t>
      </w:r>
      <w:proofErr w:type="spellEnd"/>
      <w:r w:rsidRPr="00B24E84">
        <w:rPr>
          <w:lang w:val="pt-BR"/>
        </w:rPr>
        <w:t xml:space="preserve"> de </w:t>
      </w:r>
      <w:proofErr w:type="spellStart"/>
      <w:r w:rsidRPr="00B24E84">
        <w:rPr>
          <w:lang w:val="pt-BR"/>
        </w:rPr>
        <w:t>las</w:t>
      </w:r>
      <w:proofErr w:type="spellEnd"/>
      <w:r w:rsidRPr="00B24E84">
        <w:rPr>
          <w:lang w:val="pt-BR"/>
        </w:rPr>
        <w:t xml:space="preserve"> ECV, </w:t>
      </w:r>
      <w:proofErr w:type="spellStart"/>
      <w:r w:rsidRPr="00B24E84">
        <w:rPr>
          <w:lang w:val="pt-BR"/>
        </w:rPr>
        <w:t>la</w:t>
      </w:r>
      <w:proofErr w:type="spellEnd"/>
      <w:r w:rsidRPr="00B24E84">
        <w:rPr>
          <w:lang w:val="pt-BR"/>
        </w:rPr>
        <w:t xml:space="preserve"> DM y </w:t>
      </w:r>
      <w:proofErr w:type="spellStart"/>
      <w:r w:rsidRPr="00B24E84">
        <w:rPr>
          <w:lang w:val="pt-BR"/>
        </w:rPr>
        <w:t>la</w:t>
      </w:r>
      <w:proofErr w:type="spellEnd"/>
      <w:r w:rsidRPr="00B24E84">
        <w:rPr>
          <w:lang w:val="pt-BR"/>
        </w:rPr>
        <w:t xml:space="preserve"> ERC, aunado al </w:t>
      </w:r>
      <w:proofErr w:type="spellStart"/>
      <w:r w:rsidRPr="00B24E84">
        <w:rPr>
          <w:lang w:val="pt-BR"/>
        </w:rPr>
        <w:t>creciente</w:t>
      </w:r>
      <w:proofErr w:type="spellEnd"/>
      <w:r w:rsidRPr="00B24E84">
        <w:rPr>
          <w:lang w:val="pt-BR"/>
        </w:rPr>
        <w:t xml:space="preserve"> uso de </w:t>
      </w:r>
      <w:proofErr w:type="spellStart"/>
      <w:r w:rsidRPr="00B24E84">
        <w:rPr>
          <w:lang w:val="pt-BR"/>
        </w:rPr>
        <w:t>los</w:t>
      </w:r>
      <w:proofErr w:type="spellEnd"/>
      <w:r w:rsidRPr="00B24E84">
        <w:rPr>
          <w:lang w:val="pt-BR"/>
        </w:rPr>
        <w:t xml:space="preserve"> </w:t>
      </w:r>
      <w:proofErr w:type="spellStart"/>
      <w:r w:rsidRPr="00B24E84">
        <w:rPr>
          <w:lang w:val="pt-BR"/>
        </w:rPr>
        <w:t>RAASi</w:t>
      </w:r>
      <w:proofErr w:type="spellEnd"/>
      <w:r w:rsidRPr="00B24E84">
        <w:rPr>
          <w:lang w:val="pt-BR"/>
        </w:rPr>
        <w:t xml:space="preserve">, </w:t>
      </w:r>
      <w:proofErr w:type="spellStart"/>
      <w:r w:rsidRPr="00B24E84">
        <w:rPr>
          <w:lang w:val="pt-BR"/>
        </w:rPr>
        <w:t>han</w:t>
      </w:r>
      <w:proofErr w:type="spellEnd"/>
      <w:r w:rsidRPr="00B24E84">
        <w:rPr>
          <w:lang w:val="pt-BR"/>
        </w:rPr>
        <w:t xml:space="preserve"> aumentado </w:t>
      </w:r>
      <w:proofErr w:type="spellStart"/>
      <w:r w:rsidRPr="00B24E84">
        <w:rPr>
          <w:lang w:val="pt-BR"/>
        </w:rPr>
        <w:t>la</w:t>
      </w:r>
      <w:proofErr w:type="spellEnd"/>
      <w:r w:rsidRPr="00B24E84">
        <w:rPr>
          <w:lang w:val="pt-BR"/>
        </w:rPr>
        <w:t xml:space="preserve"> </w:t>
      </w:r>
      <w:proofErr w:type="spellStart"/>
      <w:r w:rsidRPr="00B24E84">
        <w:rPr>
          <w:lang w:val="pt-BR"/>
        </w:rPr>
        <w:t>incidencia</w:t>
      </w:r>
      <w:proofErr w:type="spellEnd"/>
      <w:r w:rsidRPr="00B24E84">
        <w:rPr>
          <w:lang w:val="pt-BR"/>
        </w:rPr>
        <w:t xml:space="preserve"> de </w:t>
      </w:r>
      <w:proofErr w:type="spellStart"/>
      <w:r w:rsidRPr="00B24E84">
        <w:rPr>
          <w:lang w:val="pt-BR"/>
        </w:rPr>
        <w:t>la</w:t>
      </w:r>
      <w:proofErr w:type="spellEnd"/>
      <w:r w:rsidRPr="00B24E84">
        <w:rPr>
          <w:lang w:val="pt-BR"/>
        </w:rPr>
        <w:t xml:space="preserve"> </w:t>
      </w:r>
      <w:proofErr w:type="spellStart"/>
      <w:r w:rsidRPr="00B24E84">
        <w:rPr>
          <w:lang w:val="pt-BR"/>
        </w:rPr>
        <w:t>hiperpotasemia</w:t>
      </w:r>
      <w:proofErr w:type="spellEnd"/>
      <w:r w:rsidRPr="00B24E84">
        <w:rPr>
          <w:lang w:val="pt-BR"/>
        </w:rPr>
        <w:t xml:space="preserve"> y </w:t>
      </w:r>
      <w:proofErr w:type="spellStart"/>
      <w:r w:rsidRPr="00B24E84">
        <w:rPr>
          <w:lang w:val="pt-BR"/>
        </w:rPr>
        <w:t>la</w:t>
      </w:r>
      <w:proofErr w:type="spellEnd"/>
      <w:r w:rsidRPr="00B24E84">
        <w:rPr>
          <w:lang w:val="pt-BR"/>
        </w:rPr>
        <w:t xml:space="preserve"> </w:t>
      </w:r>
      <w:proofErr w:type="spellStart"/>
      <w:r w:rsidRPr="00B24E84">
        <w:rPr>
          <w:lang w:val="pt-BR"/>
        </w:rPr>
        <w:t>necesidad</w:t>
      </w:r>
      <w:proofErr w:type="spellEnd"/>
      <w:r w:rsidRPr="00B24E84">
        <w:rPr>
          <w:lang w:val="pt-BR"/>
        </w:rPr>
        <w:t xml:space="preserve"> de </w:t>
      </w:r>
      <w:proofErr w:type="spellStart"/>
      <w:r w:rsidRPr="00B24E84">
        <w:rPr>
          <w:lang w:val="pt-BR"/>
        </w:rPr>
        <w:t>actualización</w:t>
      </w:r>
      <w:proofErr w:type="spellEnd"/>
      <w:r w:rsidRPr="00B24E84">
        <w:rPr>
          <w:lang w:val="pt-BR"/>
        </w:rPr>
        <w:t xml:space="preserve"> </w:t>
      </w:r>
      <w:proofErr w:type="spellStart"/>
      <w:r w:rsidRPr="00B24E84">
        <w:rPr>
          <w:lang w:val="pt-BR"/>
        </w:rPr>
        <w:t>respecto</w:t>
      </w:r>
      <w:proofErr w:type="spellEnd"/>
      <w:r w:rsidRPr="00B24E84">
        <w:rPr>
          <w:lang w:val="pt-BR"/>
        </w:rPr>
        <w:t xml:space="preserve"> a </w:t>
      </w:r>
      <w:proofErr w:type="spellStart"/>
      <w:r w:rsidRPr="00B24E84">
        <w:rPr>
          <w:lang w:val="pt-BR"/>
        </w:rPr>
        <w:t>opciones</w:t>
      </w:r>
      <w:proofErr w:type="spellEnd"/>
      <w:r w:rsidRPr="00B24E84">
        <w:rPr>
          <w:lang w:val="pt-BR"/>
        </w:rPr>
        <w:t xml:space="preserve"> </w:t>
      </w:r>
      <w:proofErr w:type="spellStart"/>
      <w:r w:rsidRPr="00B24E84">
        <w:rPr>
          <w:lang w:val="pt-BR"/>
        </w:rPr>
        <w:t>terapéuticas</w:t>
      </w:r>
      <w:proofErr w:type="spellEnd"/>
      <w:r w:rsidRPr="00B24E84">
        <w:rPr>
          <w:lang w:val="pt-BR"/>
        </w:rPr>
        <w:t xml:space="preserve"> </w:t>
      </w:r>
      <w:proofErr w:type="spellStart"/>
      <w:r w:rsidRPr="00B24E84">
        <w:rPr>
          <w:lang w:val="pt-BR"/>
        </w:rPr>
        <w:t>eficaces</w:t>
      </w:r>
      <w:proofErr w:type="spellEnd"/>
      <w:r w:rsidRPr="00B24E84">
        <w:rPr>
          <w:lang w:val="pt-BR"/>
        </w:rPr>
        <w:t xml:space="preserve"> y seguras </w:t>
      </w:r>
      <w:proofErr w:type="spellStart"/>
      <w:r w:rsidRPr="00B24E84">
        <w:rPr>
          <w:lang w:val="pt-BR"/>
        </w:rPr>
        <w:t>en</w:t>
      </w:r>
      <w:proofErr w:type="spellEnd"/>
      <w:r w:rsidRPr="00B24E84">
        <w:rPr>
          <w:lang w:val="pt-BR"/>
        </w:rPr>
        <w:t xml:space="preserve"> este grupo de pacientes. </w:t>
      </w:r>
      <w:proofErr w:type="spellStart"/>
      <w:r w:rsidRPr="007655A5">
        <w:rPr>
          <w:lang w:val="pt-BR"/>
        </w:rPr>
        <w:t>En</w:t>
      </w:r>
      <w:proofErr w:type="spellEnd"/>
      <w:r w:rsidRPr="007655A5">
        <w:rPr>
          <w:lang w:val="pt-BR"/>
        </w:rPr>
        <w:t xml:space="preserve"> </w:t>
      </w:r>
      <w:proofErr w:type="spellStart"/>
      <w:r w:rsidRPr="007655A5">
        <w:rPr>
          <w:lang w:val="pt-BR"/>
        </w:rPr>
        <w:t>el</w:t>
      </w:r>
      <w:proofErr w:type="spellEnd"/>
      <w:r w:rsidRPr="007655A5">
        <w:rPr>
          <w:lang w:val="pt-BR"/>
        </w:rPr>
        <w:t xml:space="preserve"> presente caso, </w:t>
      </w:r>
      <w:proofErr w:type="spellStart"/>
      <w:r w:rsidRPr="007655A5">
        <w:rPr>
          <w:lang w:val="pt-BR"/>
        </w:rPr>
        <w:t>la</w:t>
      </w:r>
      <w:proofErr w:type="spellEnd"/>
      <w:r w:rsidRPr="007655A5">
        <w:rPr>
          <w:lang w:val="pt-BR"/>
        </w:rPr>
        <w:t xml:space="preserve"> </w:t>
      </w:r>
      <w:proofErr w:type="spellStart"/>
      <w:r w:rsidRPr="007655A5">
        <w:rPr>
          <w:lang w:val="pt-BR"/>
        </w:rPr>
        <w:t>estrategia</w:t>
      </w:r>
      <w:proofErr w:type="spellEnd"/>
      <w:r w:rsidRPr="007655A5">
        <w:rPr>
          <w:lang w:val="pt-BR"/>
        </w:rPr>
        <w:t xml:space="preserve"> de </w:t>
      </w:r>
      <w:proofErr w:type="spellStart"/>
      <w:r w:rsidRPr="007655A5">
        <w:rPr>
          <w:lang w:val="pt-BR"/>
        </w:rPr>
        <w:t>tratamiento</w:t>
      </w:r>
      <w:proofErr w:type="spellEnd"/>
      <w:r w:rsidRPr="007655A5">
        <w:rPr>
          <w:lang w:val="pt-BR"/>
        </w:rPr>
        <w:t xml:space="preserve"> utilizada </w:t>
      </w:r>
      <w:proofErr w:type="spellStart"/>
      <w:r w:rsidRPr="00B24E84">
        <w:rPr>
          <w:lang w:val="pt-BR"/>
        </w:rPr>
        <w:t>demostró</w:t>
      </w:r>
      <w:proofErr w:type="spellEnd"/>
      <w:r w:rsidRPr="007655A5">
        <w:rPr>
          <w:lang w:val="pt-BR"/>
        </w:rPr>
        <w:t xml:space="preserve">́ ser altamente </w:t>
      </w:r>
      <w:proofErr w:type="spellStart"/>
      <w:r w:rsidRPr="007655A5">
        <w:rPr>
          <w:lang w:val="pt-BR"/>
        </w:rPr>
        <w:t>efectiva</w:t>
      </w:r>
      <w:proofErr w:type="spellEnd"/>
      <w:r w:rsidRPr="007655A5">
        <w:rPr>
          <w:lang w:val="pt-BR"/>
        </w:rPr>
        <w:t xml:space="preserve"> </w:t>
      </w:r>
      <w:proofErr w:type="spellStart"/>
      <w:r w:rsidRPr="007655A5">
        <w:rPr>
          <w:lang w:val="pt-BR"/>
        </w:rPr>
        <w:t>en</w:t>
      </w:r>
      <w:proofErr w:type="spellEnd"/>
      <w:r w:rsidRPr="007655A5">
        <w:rPr>
          <w:lang w:val="pt-BR"/>
        </w:rPr>
        <w:t xml:space="preserve"> </w:t>
      </w:r>
      <w:proofErr w:type="spellStart"/>
      <w:r w:rsidRPr="007655A5">
        <w:rPr>
          <w:lang w:val="pt-BR"/>
        </w:rPr>
        <w:t>un</w:t>
      </w:r>
      <w:proofErr w:type="spellEnd"/>
      <w:r w:rsidRPr="007655A5">
        <w:rPr>
          <w:lang w:val="pt-BR"/>
        </w:rPr>
        <w:t xml:space="preserve"> paciente </w:t>
      </w:r>
      <w:proofErr w:type="spellStart"/>
      <w:r w:rsidRPr="007655A5">
        <w:rPr>
          <w:lang w:val="pt-BR"/>
        </w:rPr>
        <w:t>con</w:t>
      </w:r>
      <w:proofErr w:type="spellEnd"/>
      <w:r w:rsidRPr="007655A5">
        <w:rPr>
          <w:lang w:val="pt-BR"/>
        </w:rPr>
        <w:t xml:space="preserve"> </w:t>
      </w:r>
      <w:proofErr w:type="spellStart"/>
      <w:r w:rsidRPr="00B24E84">
        <w:rPr>
          <w:lang w:val="pt-BR"/>
        </w:rPr>
        <w:t>hiperpotasemia</w:t>
      </w:r>
      <w:proofErr w:type="spellEnd"/>
      <w:r w:rsidRPr="00B24E84">
        <w:rPr>
          <w:lang w:val="pt-BR"/>
        </w:rPr>
        <w:t xml:space="preserve"> y ERC agudizada, no </w:t>
      </w:r>
      <w:proofErr w:type="spellStart"/>
      <w:r w:rsidRPr="00B24E84">
        <w:rPr>
          <w:lang w:val="pt-BR"/>
        </w:rPr>
        <w:t>sólo</w:t>
      </w:r>
      <w:proofErr w:type="spellEnd"/>
      <w:r w:rsidRPr="00B24E84">
        <w:rPr>
          <w:lang w:val="pt-BR"/>
        </w:rPr>
        <w:t xml:space="preserve"> </w:t>
      </w:r>
      <w:proofErr w:type="spellStart"/>
      <w:r w:rsidRPr="00B24E84">
        <w:rPr>
          <w:lang w:val="pt-BR"/>
        </w:rPr>
        <w:t>en</w:t>
      </w:r>
      <w:proofErr w:type="spellEnd"/>
      <w:r w:rsidRPr="00B24E84">
        <w:rPr>
          <w:lang w:val="pt-BR"/>
        </w:rPr>
        <w:t xml:space="preserve"> </w:t>
      </w:r>
      <w:proofErr w:type="spellStart"/>
      <w:r w:rsidRPr="00B24E84">
        <w:rPr>
          <w:lang w:val="pt-BR"/>
        </w:rPr>
        <w:t>el</w:t>
      </w:r>
      <w:proofErr w:type="spellEnd"/>
      <w:r w:rsidRPr="00B24E84">
        <w:rPr>
          <w:lang w:val="pt-BR"/>
        </w:rPr>
        <w:t xml:space="preserve"> </w:t>
      </w:r>
      <w:proofErr w:type="spellStart"/>
      <w:r w:rsidRPr="00B24E84">
        <w:rPr>
          <w:lang w:val="pt-BR"/>
        </w:rPr>
        <w:t>control</w:t>
      </w:r>
      <w:proofErr w:type="spellEnd"/>
      <w:r w:rsidRPr="00B24E84">
        <w:rPr>
          <w:lang w:val="pt-BR"/>
        </w:rPr>
        <w:t xml:space="preserve"> de </w:t>
      </w:r>
      <w:proofErr w:type="spellStart"/>
      <w:r w:rsidRPr="00B24E84">
        <w:rPr>
          <w:lang w:val="pt-BR"/>
        </w:rPr>
        <w:t>síntomas</w:t>
      </w:r>
      <w:proofErr w:type="spellEnd"/>
      <w:r w:rsidRPr="00B24E84">
        <w:rPr>
          <w:lang w:val="pt-BR"/>
        </w:rPr>
        <w:t xml:space="preserve"> y </w:t>
      </w:r>
      <w:proofErr w:type="spellStart"/>
      <w:r w:rsidRPr="00B24E84">
        <w:rPr>
          <w:lang w:val="pt-BR"/>
        </w:rPr>
        <w:t>del</w:t>
      </w:r>
      <w:proofErr w:type="spellEnd"/>
      <w:r w:rsidRPr="00B24E84">
        <w:rPr>
          <w:lang w:val="pt-BR"/>
        </w:rPr>
        <w:t xml:space="preserve"> </w:t>
      </w:r>
      <w:proofErr w:type="spellStart"/>
      <w:r w:rsidRPr="00B24E84">
        <w:rPr>
          <w:lang w:val="pt-BR"/>
        </w:rPr>
        <w:t>potasio</w:t>
      </w:r>
      <w:proofErr w:type="spellEnd"/>
      <w:r w:rsidRPr="00B24E84">
        <w:rPr>
          <w:lang w:val="pt-BR"/>
        </w:rPr>
        <w:t xml:space="preserve">, sino </w:t>
      </w:r>
      <w:proofErr w:type="spellStart"/>
      <w:r w:rsidRPr="00B24E84">
        <w:rPr>
          <w:lang w:val="pt-BR"/>
        </w:rPr>
        <w:t>también</w:t>
      </w:r>
      <w:proofErr w:type="spellEnd"/>
      <w:r w:rsidRPr="00B24E84">
        <w:rPr>
          <w:lang w:val="pt-BR"/>
        </w:rPr>
        <w:t xml:space="preserve"> </w:t>
      </w:r>
      <w:proofErr w:type="spellStart"/>
      <w:r w:rsidRPr="00B24E84">
        <w:rPr>
          <w:lang w:val="pt-BR"/>
        </w:rPr>
        <w:t>en</w:t>
      </w:r>
      <w:proofErr w:type="spellEnd"/>
      <w:r w:rsidRPr="00B24E84">
        <w:rPr>
          <w:lang w:val="pt-BR"/>
        </w:rPr>
        <w:t xml:space="preserve"> </w:t>
      </w:r>
      <w:proofErr w:type="spellStart"/>
      <w:r w:rsidRPr="00B24E84">
        <w:rPr>
          <w:lang w:val="pt-BR"/>
        </w:rPr>
        <w:t>la</w:t>
      </w:r>
      <w:proofErr w:type="spellEnd"/>
      <w:r w:rsidRPr="00B24E84">
        <w:rPr>
          <w:lang w:val="pt-BR"/>
        </w:rPr>
        <w:t xml:space="preserve"> </w:t>
      </w:r>
      <w:proofErr w:type="spellStart"/>
      <w:r w:rsidRPr="00B24E84">
        <w:rPr>
          <w:lang w:val="pt-BR"/>
        </w:rPr>
        <w:t>continuidad</w:t>
      </w:r>
      <w:proofErr w:type="spellEnd"/>
      <w:r w:rsidRPr="00B24E84">
        <w:rPr>
          <w:lang w:val="pt-BR"/>
        </w:rPr>
        <w:t xml:space="preserve"> </w:t>
      </w:r>
      <w:proofErr w:type="spellStart"/>
      <w:r w:rsidRPr="00B24E84">
        <w:rPr>
          <w:lang w:val="pt-BR"/>
        </w:rPr>
        <w:t>del</w:t>
      </w:r>
      <w:proofErr w:type="spellEnd"/>
      <w:r w:rsidRPr="00B24E84">
        <w:rPr>
          <w:lang w:val="pt-BR"/>
        </w:rPr>
        <w:t xml:space="preserve"> </w:t>
      </w:r>
      <w:proofErr w:type="spellStart"/>
      <w:r w:rsidRPr="00B24E84">
        <w:rPr>
          <w:lang w:val="pt-BR"/>
        </w:rPr>
        <w:t>tratamiento</w:t>
      </w:r>
      <w:proofErr w:type="spellEnd"/>
      <w:r w:rsidRPr="00B24E84">
        <w:rPr>
          <w:lang w:val="pt-BR"/>
        </w:rPr>
        <w:t xml:space="preserve"> </w:t>
      </w:r>
      <w:proofErr w:type="spellStart"/>
      <w:r w:rsidRPr="00B24E84">
        <w:rPr>
          <w:lang w:val="pt-BR"/>
        </w:rPr>
        <w:t>con</w:t>
      </w:r>
      <w:proofErr w:type="spellEnd"/>
      <w:r w:rsidRPr="00B24E84">
        <w:rPr>
          <w:lang w:val="pt-BR"/>
        </w:rPr>
        <w:t xml:space="preserve"> </w:t>
      </w:r>
      <w:proofErr w:type="spellStart"/>
      <w:r w:rsidRPr="00B24E84">
        <w:rPr>
          <w:lang w:val="pt-BR"/>
        </w:rPr>
        <w:t>RAASi</w:t>
      </w:r>
      <w:proofErr w:type="spellEnd"/>
      <w:r w:rsidRPr="00B24E84">
        <w:rPr>
          <w:lang w:val="pt-BR"/>
        </w:rPr>
        <w:t xml:space="preserve">, </w:t>
      </w:r>
      <w:proofErr w:type="spellStart"/>
      <w:r w:rsidRPr="00B24E84">
        <w:rPr>
          <w:lang w:val="pt-BR"/>
        </w:rPr>
        <w:t>benefiándose</w:t>
      </w:r>
      <w:proofErr w:type="spellEnd"/>
      <w:r w:rsidRPr="00B24E84">
        <w:rPr>
          <w:lang w:val="pt-BR"/>
        </w:rPr>
        <w:t xml:space="preserve"> </w:t>
      </w:r>
      <w:proofErr w:type="spellStart"/>
      <w:r w:rsidRPr="00B24E84">
        <w:rPr>
          <w:lang w:val="pt-BR"/>
        </w:rPr>
        <w:t>con</w:t>
      </w:r>
      <w:proofErr w:type="spellEnd"/>
      <w:r w:rsidRPr="00B24E84">
        <w:rPr>
          <w:lang w:val="pt-BR"/>
        </w:rPr>
        <w:t xml:space="preserve"> </w:t>
      </w:r>
      <w:proofErr w:type="spellStart"/>
      <w:r w:rsidRPr="00B24E84">
        <w:rPr>
          <w:lang w:val="pt-BR"/>
        </w:rPr>
        <w:t>ello</w:t>
      </w:r>
      <w:proofErr w:type="spellEnd"/>
      <w:r w:rsidRPr="00B24E84">
        <w:rPr>
          <w:lang w:val="pt-BR"/>
        </w:rPr>
        <w:t xml:space="preserve"> </w:t>
      </w:r>
      <w:proofErr w:type="spellStart"/>
      <w:r w:rsidRPr="00B24E84">
        <w:rPr>
          <w:lang w:val="pt-BR"/>
        </w:rPr>
        <w:t>la</w:t>
      </w:r>
      <w:proofErr w:type="spellEnd"/>
      <w:r w:rsidRPr="00B24E84">
        <w:rPr>
          <w:lang w:val="pt-BR"/>
        </w:rPr>
        <w:t xml:space="preserve"> paciente de sus </w:t>
      </w:r>
      <w:proofErr w:type="spellStart"/>
      <w:r w:rsidRPr="00B24E84">
        <w:rPr>
          <w:lang w:val="pt-BR"/>
        </w:rPr>
        <w:t>efectos</w:t>
      </w:r>
      <w:proofErr w:type="spellEnd"/>
      <w:r w:rsidRPr="00B24E84">
        <w:rPr>
          <w:lang w:val="pt-BR"/>
        </w:rPr>
        <w:t xml:space="preserve"> </w:t>
      </w:r>
      <w:proofErr w:type="spellStart"/>
      <w:r w:rsidRPr="00B24E84">
        <w:rPr>
          <w:lang w:val="pt-BR"/>
        </w:rPr>
        <w:t>reno</w:t>
      </w:r>
      <w:proofErr w:type="spellEnd"/>
      <w:r w:rsidRPr="00B24E84">
        <w:rPr>
          <w:lang w:val="pt-BR"/>
        </w:rPr>
        <w:t xml:space="preserve"> y </w:t>
      </w:r>
      <w:proofErr w:type="spellStart"/>
      <w:r w:rsidRPr="00B24E84">
        <w:rPr>
          <w:lang w:val="pt-BR"/>
        </w:rPr>
        <w:t>cardioprotectores</w:t>
      </w:r>
      <w:proofErr w:type="spellEnd"/>
      <w:r w:rsidRPr="00B24E84">
        <w:rPr>
          <w:lang w:val="pt-BR"/>
        </w:rPr>
        <w:t>.</w:t>
      </w:r>
    </w:p>
    <w:p w14:paraId="6A176622" w14:textId="77777777" w:rsidR="00B24E84" w:rsidRPr="00B24E84" w:rsidRDefault="00B24E84" w:rsidP="000C7C69">
      <w:pPr>
        <w:spacing w:line="480" w:lineRule="auto"/>
        <w:jc w:val="both"/>
        <w:rPr>
          <w:lang w:val="pt-BR"/>
        </w:rPr>
      </w:pPr>
    </w:p>
    <w:p w14:paraId="1EB60583" w14:textId="77777777" w:rsidR="00B24E84" w:rsidRPr="00B24E84" w:rsidRDefault="00B24E84" w:rsidP="000C7C69">
      <w:pPr>
        <w:spacing w:line="480" w:lineRule="auto"/>
        <w:jc w:val="both"/>
        <w:rPr>
          <w:lang w:val="pt-BR"/>
        </w:rPr>
      </w:pPr>
      <w:r w:rsidRPr="007655A5">
        <w:rPr>
          <w:lang w:val="pt-BR"/>
        </w:rPr>
        <w:t xml:space="preserve">Este caso </w:t>
      </w:r>
      <w:proofErr w:type="spellStart"/>
      <w:r w:rsidRPr="007655A5">
        <w:rPr>
          <w:lang w:val="pt-BR"/>
        </w:rPr>
        <w:t>sugiere</w:t>
      </w:r>
      <w:proofErr w:type="spellEnd"/>
      <w:r w:rsidRPr="007655A5">
        <w:rPr>
          <w:lang w:val="pt-BR"/>
        </w:rPr>
        <w:t xml:space="preserve"> que </w:t>
      </w:r>
      <w:r w:rsidRPr="00B24E84">
        <w:rPr>
          <w:lang w:val="pt-BR"/>
        </w:rPr>
        <w:t xml:space="preserve">una </w:t>
      </w:r>
      <w:proofErr w:type="spellStart"/>
      <w:r w:rsidRPr="00B24E84">
        <w:rPr>
          <w:lang w:val="pt-BR"/>
        </w:rPr>
        <w:t>combinación</w:t>
      </w:r>
      <w:proofErr w:type="spellEnd"/>
      <w:r w:rsidRPr="003E2AC7">
        <w:rPr>
          <w:lang w:val="pt-BR"/>
        </w:rPr>
        <w:t xml:space="preserve"> de</w:t>
      </w:r>
      <w:r w:rsidRPr="00B24E84">
        <w:rPr>
          <w:lang w:val="pt-BR"/>
        </w:rPr>
        <w:t xml:space="preserve"> </w:t>
      </w:r>
      <w:proofErr w:type="spellStart"/>
      <w:r w:rsidRPr="00B24E84">
        <w:rPr>
          <w:lang w:val="pt-BR"/>
        </w:rPr>
        <w:t>tratamiento</w:t>
      </w:r>
      <w:proofErr w:type="spellEnd"/>
      <w:r w:rsidRPr="00B24E84">
        <w:rPr>
          <w:lang w:val="pt-BR"/>
        </w:rPr>
        <w:t xml:space="preserve"> </w:t>
      </w:r>
      <w:proofErr w:type="spellStart"/>
      <w:r w:rsidRPr="00B24E84">
        <w:rPr>
          <w:lang w:val="pt-BR"/>
        </w:rPr>
        <w:t>con</w:t>
      </w:r>
      <w:proofErr w:type="spellEnd"/>
      <w:r w:rsidRPr="00B24E84">
        <w:rPr>
          <w:lang w:val="pt-BR"/>
        </w:rPr>
        <w:t xml:space="preserve"> fármacos </w:t>
      </w:r>
      <w:proofErr w:type="spellStart"/>
      <w:r w:rsidRPr="00B24E84">
        <w:rPr>
          <w:lang w:val="pt-BR"/>
        </w:rPr>
        <w:t>RAASi</w:t>
      </w:r>
      <w:proofErr w:type="spellEnd"/>
      <w:r w:rsidRPr="00B24E84">
        <w:rPr>
          <w:lang w:val="pt-BR"/>
        </w:rPr>
        <w:t xml:space="preserve">, diuréticos de asa y resinas de intercambio </w:t>
      </w:r>
      <w:proofErr w:type="spellStart"/>
      <w:r w:rsidRPr="00B24E84">
        <w:rPr>
          <w:lang w:val="pt-BR"/>
        </w:rPr>
        <w:t>catiónico</w:t>
      </w:r>
      <w:proofErr w:type="spellEnd"/>
      <w:r w:rsidRPr="00B24E84">
        <w:rPr>
          <w:lang w:val="pt-BR"/>
        </w:rPr>
        <w:t xml:space="preserve"> (</w:t>
      </w:r>
      <w:proofErr w:type="spellStart"/>
      <w:r w:rsidRPr="00B24E84">
        <w:rPr>
          <w:lang w:val="pt-BR"/>
        </w:rPr>
        <w:t>patiromero</w:t>
      </w:r>
      <w:proofErr w:type="spellEnd"/>
      <w:r w:rsidRPr="00B24E84">
        <w:rPr>
          <w:lang w:val="pt-BR"/>
        </w:rPr>
        <w:t xml:space="preserve">) es segura y presenta una </w:t>
      </w:r>
      <w:proofErr w:type="spellStart"/>
      <w:r w:rsidRPr="00B24E84">
        <w:rPr>
          <w:lang w:val="pt-BR"/>
        </w:rPr>
        <w:t>mejoría</w:t>
      </w:r>
      <w:proofErr w:type="spellEnd"/>
      <w:r w:rsidRPr="00B24E84">
        <w:rPr>
          <w:lang w:val="pt-BR"/>
        </w:rPr>
        <w:t xml:space="preserve"> </w:t>
      </w:r>
      <w:proofErr w:type="spellStart"/>
      <w:r w:rsidRPr="00B24E84">
        <w:rPr>
          <w:lang w:val="pt-BR"/>
        </w:rPr>
        <w:t>en</w:t>
      </w:r>
      <w:proofErr w:type="spellEnd"/>
      <w:r w:rsidRPr="00B24E84">
        <w:rPr>
          <w:lang w:val="pt-BR"/>
        </w:rPr>
        <w:t xml:space="preserve"> </w:t>
      </w:r>
      <w:proofErr w:type="spellStart"/>
      <w:r w:rsidRPr="00B24E84">
        <w:rPr>
          <w:lang w:val="pt-BR"/>
        </w:rPr>
        <w:t>el</w:t>
      </w:r>
      <w:proofErr w:type="spellEnd"/>
      <w:r w:rsidRPr="00B24E84">
        <w:rPr>
          <w:lang w:val="pt-BR"/>
        </w:rPr>
        <w:t xml:space="preserve"> </w:t>
      </w:r>
      <w:proofErr w:type="spellStart"/>
      <w:r w:rsidRPr="00B24E84">
        <w:rPr>
          <w:lang w:val="pt-BR"/>
        </w:rPr>
        <w:t>control</w:t>
      </w:r>
      <w:proofErr w:type="spellEnd"/>
      <w:r w:rsidRPr="00B24E84">
        <w:rPr>
          <w:lang w:val="pt-BR"/>
        </w:rPr>
        <w:t xml:space="preserve"> de </w:t>
      </w:r>
      <w:proofErr w:type="spellStart"/>
      <w:r w:rsidRPr="00B24E84">
        <w:rPr>
          <w:lang w:val="pt-BR"/>
        </w:rPr>
        <w:t>la</w:t>
      </w:r>
      <w:proofErr w:type="spellEnd"/>
      <w:r w:rsidRPr="00B24E84">
        <w:rPr>
          <w:lang w:val="pt-BR"/>
        </w:rPr>
        <w:t xml:space="preserve"> </w:t>
      </w:r>
      <w:proofErr w:type="spellStart"/>
      <w:r w:rsidRPr="00B24E84">
        <w:rPr>
          <w:lang w:val="pt-BR"/>
        </w:rPr>
        <w:t>hiperpotasemia</w:t>
      </w:r>
      <w:proofErr w:type="spellEnd"/>
      <w:r w:rsidRPr="00B24E84">
        <w:rPr>
          <w:lang w:val="pt-BR"/>
        </w:rPr>
        <w:t xml:space="preserve"> y sus </w:t>
      </w:r>
      <w:proofErr w:type="spellStart"/>
      <w:r w:rsidRPr="00B24E84">
        <w:rPr>
          <w:lang w:val="pt-BR"/>
        </w:rPr>
        <w:t>síntomas</w:t>
      </w:r>
      <w:proofErr w:type="spellEnd"/>
      <w:r w:rsidRPr="00B24E84">
        <w:rPr>
          <w:lang w:val="pt-BR"/>
        </w:rPr>
        <w:t xml:space="preserve"> </w:t>
      </w:r>
      <w:proofErr w:type="spellStart"/>
      <w:r w:rsidRPr="00B24E84">
        <w:rPr>
          <w:lang w:val="pt-BR"/>
        </w:rPr>
        <w:t>asociadados</w:t>
      </w:r>
      <w:proofErr w:type="spellEnd"/>
      <w:r w:rsidRPr="00B24E84">
        <w:rPr>
          <w:lang w:val="pt-BR"/>
        </w:rPr>
        <w:t>.</w:t>
      </w:r>
    </w:p>
    <w:p w14:paraId="2DD6AF5A" w14:textId="7A39E8F9" w:rsidR="00FC29EC" w:rsidRDefault="00FC29EC" w:rsidP="00B24E84">
      <w:pPr>
        <w:pStyle w:val="spslineablanca"/>
      </w:pPr>
      <w:r>
        <w:t>No borrar esta línea en blanco</w:t>
      </w:r>
    </w:p>
    <w:p w14:paraId="2011D66E" w14:textId="77777777" w:rsidR="00FC29EC" w:rsidRDefault="00FC29EC" w:rsidP="00FC29EC">
      <w:pPr>
        <w:pStyle w:val="spslineablanca"/>
      </w:pPr>
      <w:r>
        <w:t>No borrar esta línea en blanco</w:t>
      </w:r>
    </w:p>
    <w:p w14:paraId="41D3BF3D" w14:textId="77777777" w:rsidR="00E9435E" w:rsidRDefault="00E9435E" w:rsidP="00E9435E">
      <w:pPr>
        <w:pStyle w:val="spslineablanca"/>
      </w:pPr>
      <w:r>
        <w:t>No borrar esta línea en blanco</w:t>
      </w:r>
    </w:p>
    <w:p w14:paraId="735C5D40" w14:textId="77777777" w:rsidR="00E9435E" w:rsidRPr="00E9435E" w:rsidRDefault="00E9435E" w:rsidP="008E0A92">
      <w:pPr>
        <w:jc w:val="center"/>
        <w:rPr>
          <w:rStyle w:val="spsnegritas"/>
        </w:rPr>
      </w:pPr>
      <w:r w:rsidRPr="00E9435E">
        <w:rPr>
          <w:rStyle w:val="spsnegritas"/>
        </w:rPr>
        <w:t>Agradecimientos</w:t>
      </w:r>
    </w:p>
    <w:p w14:paraId="45EB2A0B" w14:textId="77777777" w:rsidR="00E13894" w:rsidRDefault="00E13894" w:rsidP="000C7C69">
      <w:pPr>
        <w:spacing w:line="480" w:lineRule="auto"/>
        <w:jc w:val="both"/>
      </w:pPr>
      <w:r>
        <w:t>Este trabajo no ha requerido financiación alguna.</w:t>
      </w:r>
    </w:p>
    <w:p w14:paraId="4C4CE8BC" w14:textId="23415BFF" w:rsidR="00E14042" w:rsidRPr="00E9435E" w:rsidRDefault="00E14042" w:rsidP="00E14042">
      <w:pPr>
        <w:jc w:val="center"/>
        <w:rPr>
          <w:rStyle w:val="spsnegritas"/>
        </w:rPr>
      </w:pPr>
      <w:r>
        <w:rPr>
          <w:rStyle w:val="spsnegritas"/>
        </w:rPr>
        <w:lastRenderedPageBreak/>
        <w:t>Financiación</w:t>
      </w:r>
    </w:p>
    <w:p w14:paraId="3D8943F2" w14:textId="4263FBE9" w:rsidR="00E14042" w:rsidRDefault="00E14042" w:rsidP="000C7C69">
      <w:pPr>
        <w:spacing w:line="480" w:lineRule="auto"/>
        <w:jc w:val="both"/>
      </w:pPr>
      <w:r>
        <w:t xml:space="preserve">Este trabajo </w:t>
      </w:r>
      <w:r w:rsidR="00E13894">
        <w:t xml:space="preserve">no </w:t>
      </w:r>
      <w:r>
        <w:t xml:space="preserve">ha </w:t>
      </w:r>
      <w:r w:rsidR="00E13894">
        <w:t>requerido</w:t>
      </w:r>
      <w:r>
        <w:t xml:space="preserve"> financia</w:t>
      </w:r>
      <w:r w:rsidR="00E13894">
        <w:t>ción alguna</w:t>
      </w:r>
      <w:r>
        <w:t>.</w:t>
      </w:r>
    </w:p>
    <w:p w14:paraId="560077F9" w14:textId="59927F19" w:rsidR="00E14042" w:rsidRPr="00E9435E" w:rsidRDefault="00E14042" w:rsidP="00E14042">
      <w:pPr>
        <w:jc w:val="center"/>
        <w:rPr>
          <w:rStyle w:val="spsnegritas"/>
        </w:rPr>
      </w:pPr>
      <w:r>
        <w:rPr>
          <w:rStyle w:val="spsnegritas"/>
        </w:rPr>
        <w:t>Conflicto de intereses</w:t>
      </w:r>
    </w:p>
    <w:p w14:paraId="1F0E3E1E" w14:textId="6D25409D" w:rsidR="00E13894" w:rsidRPr="00E13894" w:rsidRDefault="00E13894" w:rsidP="000C7C69">
      <w:pPr>
        <w:spacing w:line="480" w:lineRule="auto"/>
        <w:jc w:val="both"/>
      </w:pPr>
      <w:r w:rsidRPr="00E13894">
        <w:t xml:space="preserve">Los autores declaran que no existe conflicto de interés alguno en el presente trabajo. </w:t>
      </w:r>
    </w:p>
    <w:p w14:paraId="100288F5" w14:textId="77777777" w:rsidR="00E14042" w:rsidRDefault="00E14042" w:rsidP="00C719DF">
      <w:pPr>
        <w:jc w:val="both"/>
      </w:pPr>
    </w:p>
    <w:p w14:paraId="72390757" w14:textId="77777777" w:rsidR="00E9435E" w:rsidRDefault="00E9435E" w:rsidP="00E9435E">
      <w:pPr>
        <w:pStyle w:val="spslineablanca"/>
      </w:pPr>
      <w:r>
        <w:t>No borrar esta línea en blanco</w:t>
      </w:r>
    </w:p>
    <w:p w14:paraId="0ED20BAD" w14:textId="14463B59" w:rsidR="00B24E84" w:rsidRPr="000C7C69" w:rsidRDefault="001E10D9" w:rsidP="000C7C69">
      <w:pPr>
        <w:pStyle w:val="spsreferentitulo"/>
        <w:rPr>
          <w:lang w:val="en-US"/>
        </w:rPr>
      </w:pPr>
      <w:proofErr w:type="spellStart"/>
      <w:r w:rsidRPr="000C7C69">
        <w:rPr>
          <w:lang w:val="en-US"/>
        </w:rPr>
        <w:t>Bibliografía</w:t>
      </w:r>
      <w:bookmarkStart w:id="0" w:name="_GoBack"/>
      <w:bookmarkEnd w:id="0"/>
      <w:proofErr w:type="spellEnd"/>
    </w:p>
    <w:p w14:paraId="2B169270" w14:textId="77777777" w:rsidR="00B24E84" w:rsidRPr="000C7C69" w:rsidRDefault="00B24E84" w:rsidP="000C7C69">
      <w:pPr>
        <w:widowControl w:val="0"/>
        <w:autoSpaceDE w:val="0"/>
        <w:autoSpaceDN w:val="0"/>
        <w:adjustRightInd w:val="0"/>
        <w:spacing w:after="0" w:line="480" w:lineRule="auto"/>
        <w:ind w:left="640" w:hanging="640"/>
        <w:rPr>
          <w:rFonts w:cs="Arial"/>
          <w:noProof/>
          <w:lang w:val="en-US"/>
        </w:rPr>
      </w:pPr>
      <w:r w:rsidRPr="000C7C69">
        <w:rPr>
          <w:rFonts w:eastAsia="Times New Roman" w:cs="Arial"/>
          <w:lang w:eastAsia="es-ES_tradnl"/>
        </w:rPr>
        <w:fldChar w:fldCharType="begin" w:fldLock="1"/>
      </w:r>
      <w:r w:rsidRPr="000C7C69">
        <w:rPr>
          <w:rFonts w:eastAsia="Times New Roman" w:cs="Arial"/>
          <w:lang w:val="en-US" w:eastAsia="es-ES_tradnl"/>
        </w:rPr>
        <w:instrText xml:space="preserve">ADDIN Mendeley Bibliography CSL_BIBLIOGRAPHY </w:instrText>
      </w:r>
      <w:r w:rsidRPr="000C7C69">
        <w:rPr>
          <w:rFonts w:eastAsia="Times New Roman" w:cs="Arial"/>
          <w:lang w:eastAsia="es-ES_tradnl"/>
        </w:rPr>
        <w:fldChar w:fldCharType="separate"/>
      </w:r>
      <w:r w:rsidRPr="000C7C69">
        <w:rPr>
          <w:rFonts w:cs="Arial"/>
          <w:noProof/>
          <w:lang w:val="en-US"/>
        </w:rPr>
        <w:t xml:space="preserve">1. </w:t>
      </w:r>
      <w:r w:rsidRPr="000C7C69">
        <w:rPr>
          <w:rFonts w:cs="Arial"/>
          <w:noProof/>
          <w:lang w:val="en-US"/>
        </w:rPr>
        <w:tab/>
        <w:t xml:space="preserve">Rafique Z, Chouihed T, Mebazaa A, Frank Peacock W. Current treatment and unmet needs of hyperkalaemia in the emergency department. Eur Hear Journal, Suppl. 2019;21:A12–9. </w:t>
      </w:r>
    </w:p>
    <w:p w14:paraId="1BFC9B12" w14:textId="77777777" w:rsidR="00B24E84" w:rsidRPr="000C7C69" w:rsidRDefault="00B24E84" w:rsidP="000C7C69">
      <w:pPr>
        <w:widowControl w:val="0"/>
        <w:autoSpaceDE w:val="0"/>
        <w:autoSpaceDN w:val="0"/>
        <w:adjustRightInd w:val="0"/>
        <w:spacing w:after="0" w:line="480" w:lineRule="auto"/>
        <w:ind w:left="640" w:hanging="640"/>
        <w:rPr>
          <w:rFonts w:cs="Arial"/>
          <w:noProof/>
          <w:lang w:val="en-US"/>
        </w:rPr>
      </w:pPr>
      <w:r w:rsidRPr="000C7C69">
        <w:rPr>
          <w:rFonts w:cs="Arial"/>
          <w:noProof/>
          <w:lang w:val="en-US"/>
        </w:rPr>
        <w:t xml:space="preserve">2. </w:t>
      </w:r>
      <w:r w:rsidRPr="000C7C69">
        <w:rPr>
          <w:rFonts w:cs="Arial"/>
          <w:noProof/>
          <w:lang w:val="en-US"/>
        </w:rPr>
        <w:tab/>
        <w:t xml:space="preserve">Maxson &amp; Mitchell. Updates in hyperkalemia: Outcomes and therapeutic strategies HHS Public Access. Physiol Behav. 2016;176(1):139–48. </w:t>
      </w:r>
    </w:p>
    <w:p w14:paraId="44D5C6D9" w14:textId="77777777" w:rsidR="00B24E84" w:rsidRPr="000C7C69" w:rsidRDefault="00B24E84" w:rsidP="000C7C69">
      <w:pPr>
        <w:widowControl w:val="0"/>
        <w:autoSpaceDE w:val="0"/>
        <w:autoSpaceDN w:val="0"/>
        <w:adjustRightInd w:val="0"/>
        <w:spacing w:after="0" w:line="480" w:lineRule="auto"/>
        <w:ind w:left="640" w:hanging="640"/>
        <w:rPr>
          <w:rFonts w:cs="Arial"/>
          <w:noProof/>
          <w:lang w:val="en-US"/>
        </w:rPr>
      </w:pPr>
      <w:r w:rsidRPr="000C7C69">
        <w:rPr>
          <w:rFonts w:cs="Arial"/>
          <w:noProof/>
          <w:lang w:val="en-US"/>
        </w:rPr>
        <w:t xml:space="preserve">3. </w:t>
      </w:r>
      <w:r w:rsidRPr="000C7C69">
        <w:rPr>
          <w:rFonts w:cs="Arial"/>
          <w:noProof/>
          <w:lang w:val="en-US"/>
        </w:rPr>
        <w:tab/>
        <w:t xml:space="preserve">Hayes J, Kalantar-Zadeh K, Lu JL, Turban S, Anderson JE, Kovesdy CP. Association of hypo- and hyperkalemia with disease progression and mortality in  males with chronic kidney disease: the role of race. Nephron Clin Pract. 2012;120(1):c8-16. </w:t>
      </w:r>
    </w:p>
    <w:p w14:paraId="583A4D58" w14:textId="77777777" w:rsidR="00B24E84" w:rsidRPr="000C7C69" w:rsidRDefault="00B24E84" w:rsidP="000C7C69">
      <w:pPr>
        <w:widowControl w:val="0"/>
        <w:autoSpaceDE w:val="0"/>
        <w:autoSpaceDN w:val="0"/>
        <w:adjustRightInd w:val="0"/>
        <w:spacing w:after="0" w:line="480" w:lineRule="auto"/>
        <w:ind w:left="640" w:hanging="640"/>
        <w:rPr>
          <w:rFonts w:cs="Arial"/>
          <w:noProof/>
          <w:lang w:val="en-US"/>
        </w:rPr>
      </w:pPr>
      <w:r w:rsidRPr="000C7C69">
        <w:rPr>
          <w:rFonts w:cs="Arial"/>
          <w:noProof/>
          <w:lang w:val="en-US"/>
        </w:rPr>
        <w:t xml:space="preserve">4. </w:t>
      </w:r>
      <w:r w:rsidRPr="000C7C69">
        <w:rPr>
          <w:rFonts w:cs="Arial"/>
          <w:noProof/>
          <w:lang w:val="en-US"/>
        </w:rPr>
        <w:tab/>
        <w:t>Rossignol P, Legrand M, Kosiborod M, Hollenberg SM, Peacock WF, Emmett M, et al. Emergency management of severe hyperkalemia: Guideline for best practice and opportunities for the future. Pharmacol Res [Internet]. 2016;113:585–91. Available from: http://dx.doi.org/10.1016/j.phrs.2016.09.039</w:t>
      </w:r>
    </w:p>
    <w:p w14:paraId="4FB612FE" w14:textId="77777777" w:rsidR="00B24E84" w:rsidRPr="000C7C69" w:rsidRDefault="00B24E84" w:rsidP="000C7C69">
      <w:pPr>
        <w:widowControl w:val="0"/>
        <w:autoSpaceDE w:val="0"/>
        <w:autoSpaceDN w:val="0"/>
        <w:adjustRightInd w:val="0"/>
        <w:spacing w:after="0" w:line="480" w:lineRule="auto"/>
        <w:ind w:left="640" w:hanging="640"/>
        <w:rPr>
          <w:rFonts w:cs="Arial"/>
          <w:noProof/>
          <w:lang w:val="en-US"/>
        </w:rPr>
      </w:pPr>
      <w:r w:rsidRPr="000C7C69">
        <w:rPr>
          <w:rFonts w:cs="Arial"/>
          <w:noProof/>
          <w:lang w:val="en-US"/>
        </w:rPr>
        <w:t xml:space="preserve">5. </w:t>
      </w:r>
      <w:r w:rsidRPr="000C7C69">
        <w:rPr>
          <w:rFonts w:cs="Arial"/>
          <w:noProof/>
          <w:lang w:val="en-US"/>
        </w:rPr>
        <w:tab/>
        <w:t xml:space="preserve">Truhlář A, Deakin CD, Soar J, Khalifa GEA, Alfonzo A, Bierens JJLM, et al. European Resuscitation Council Guidelines for Resuscitation 2015: Section 4. Cardiac  arrest in special circumstances. Resuscitation. 2015 Oct;95:148–201. </w:t>
      </w:r>
    </w:p>
    <w:p w14:paraId="170374F1" w14:textId="77777777" w:rsidR="00B24E84" w:rsidRPr="000C7C69" w:rsidRDefault="00B24E84" w:rsidP="000C7C69">
      <w:pPr>
        <w:widowControl w:val="0"/>
        <w:autoSpaceDE w:val="0"/>
        <w:autoSpaceDN w:val="0"/>
        <w:adjustRightInd w:val="0"/>
        <w:spacing w:after="0" w:line="480" w:lineRule="auto"/>
        <w:ind w:left="640" w:hanging="640"/>
        <w:rPr>
          <w:rFonts w:cs="Arial"/>
          <w:noProof/>
          <w:lang w:val="en-US"/>
        </w:rPr>
      </w:pPr>
      <w:r w:rsidRPr="000C7C69">
        <w:rPr>
          <w:rFonts w:cs="Arial"/>
          <w:noProof/>
          <w:lang w:val="en-US"/>
        </w:rPr>
        <w:lastRenderedPageBreak/>
        <w:t xml:space="preserve">6. </w:t>
      </w:r>
      <w:r w:rsidRPr="000C7C69">
        <w:rPr>
          <w:rFonts w:cs="Arial"/>
          <w:noProof/>
          <w:lang w:val="en-US"/>
        </w:rPr>
        <w:tab/>
        <w:t xml:space="preserve">Kovesdy CP. Management of Hyperkalemia: An Update for the Internist. Am J Med. 2015 Dec;128(12):1281–7. </w:t>
      </w:r>
    </w:p>
    <w:p w14:paraId="7AA9ECC8" w14:textId="77777777" w:rsidR="00B24E84" w:rsidRPr="000C7C69" w:rsidRDefault="00B24E84" w:rsidP="000C7C69">
      <w:pPr>
        <w:widowControl w:val="0"/>
        <w:autoSpaceDE w:val="0"/>
        <w:autoSpaceDN w:val="0"/>
        <w:adjustRightInd w:val="0"/>
        <w:spacing w:after="0" w:line="480" w:lineRule="auto"/>
        <w:ind w:left="640" w:hanging="640"/>
        <w:rPr>
          <w:rFonts w:cs="Arial"/>
          <w:noProof/>
          <w:lang w:val="es-ES_tradnl"/>
        </w:rPr>
      </w:pPr>
      <w:r w:rsidRPr="000C7C69">
        <w:rPr>
          <w:rFonts w:cs="Arial"/>
          <w:noProof/>
          <w:lang w:val="en-US"/>
        </w:rPr>
        <w:t xml:space="preserve">7. </w:t>
      </w:r>
      <w:r w:rsidRPr="000C7C69">
        <w:rPr>
          <w:rFonts w:cs="Arial"/>
          <w:noProof/>
          <w:lang w:val="en-US"/>
        </w:rPr>
        <w:tab/>
        <w:t xml:space="preserve">Kovesdy CP. Management of hyperkalaemia in chronic kidney disease. </w:t>
      </w:r>
      <w:r w:rsidRPr="000C7C69">
        <w:rPr>
          <w:rFonts w:cs="Arial"/>
          <w:noProof/>
          <w:lang w:val="es-ES_tradnl"/>
        </w:rPr>
        <w:t xml:space="preserve">Nat Rev Nephrol. 2014 Nov;10(11):653–62. </w:t>
      </w:r>
    </w:p>
    <w:p w14:paraId="63EDAD70" w14:textId="77777777" w:rsidR="00B24E84" w:rsidRPr="000C7C69" w:rsidRDefault="00B24E84" w:rsidP="000C7C69">
      <w:pPr>
        <w:widowControl w:val="0"/>
        <w:autoSpaceDE w:val="0"/>
        <w:autoSpaceDN w:val="0"/>
        <w:adjustRightInd w:val="0"/>
        <w:spacing w:after="0" w:line="480" w:lineRule="auto"/>
        <w:ind w:left="640" w:hanging="640"/>
        <w:rPr>
          <w:rFonts w:cs="Arial"/>
          <w:noProof/>
          <w:lang w:val="en-US"/>
        </w:rPr>
      </w:pPr>
      <w:r w:rsidRPr="000C7C69">
        <w:rPr>
          <w:rFonts w:cs="Arial"/>
          <w:noProof/>
          <w:lang w:val="es-ES_tradnl"/>
        </w:rPr>
        <w:t xml:space="preserve">8. </w:t>
      </w:r>
      <w:r w:rsidRPr="000C7C69">
        <w:rPr>
          <w:rFonts w:cs="Arial"/>
          <w:noProof/>
          <w:lang w:val="es-ES_tradnl"/>
        </w:rPr>
        <w:tab/>
        <w:t xml:space="preserve">Marín R, Álvarez-Navascués R, Fernández-Vega F. Bloqueo del sistema renina-angiotensina-aldosterona en hipertensión arterial, diabetes y nefropatía. </w:t>
      </w:r>
      <w:r w:rsidRPr="000C7C69">
        <w:rPr>
          <w:rFonts w:cs="Arial"/>
          <w:noProof/>
          <w:lang w:val="en-US"/>
        </w:rPr>
        <w:t xml:space="preserve">Rev Esp Cardiol Supl. 2008;8(E). </w:t>
      </w:r>
    </w:p>
    <w:p w14:paraId="30239A66" w14:textId="77777777" w:rsidR="00B24E84" w:rsidRPr="000C7C69" w:rsidRDefault="00B24E84" w:rsidP="000C7C69">
      <w:pPr>
        <w:widowControl w:val="0"/>
        <w:autoSpaceDE w:val="0"/>
        <w:autoSpaceDN w:val="0"/>
        <w:adjustRightInd w:val="0"/>
        <w:spacing w:after="0" w:line="480" w:lineRule="auto"/>
        <w:ind w:left="640" w:hanging="640"/>
        <w:rPr>
          <w:rFonts w:cs="Arial"/>
          <w:noProof/>
          <w:lang w:val="en-US"/>
        </w:rPr>
      </w:pPr>
      <w:r w:rsidRPr="000C7C69">
        <w:rPr>
          <w:rFonts w:cs="Arial"/>
          <w:noProof/>
          <w:lang w:val="en-US"/>
        </w:rPr>
        <w:t xml:space="preserve">9. </w:t>
      </w:r>
      <w:r w:rsidRPr="000C7C69">
        <w:rPr>
          <w:rFonts w:cs="Arial"/>
          <w:noProof/>
          <w:lang w:val="en-US"/>
        </w:rPr>
        <w:tab/>
        <w:t xml:space="preserve">Bakris GL, Pitt B, Weir MR, Freeman MW, Mayo MR, Garza D, et al. Effect of Patiromer on Serum Potassium Level in Patients With Hyperkalemia and  Diabetic Kidney Disease: The AMETHYST-DN Randomized Clinical Trial. JAMA. 2015 Jul;314(2):151–61. </w:t>
      </w:r>
    </w:p>
    <w:p w14:paraId="60E7066E" w14:textId="77777777" w:rsidR="00B24E84" w:rsidRPr="000C7C69" w:rsidRDefault="00B24E84" w:rsidP="000C7C69">
      <w:pPr>
        <w:widowControl w:val="0"/>
        <w:autoSpaceDE w:val="0"/>
        <w:autoSpaceDN w:val="0"/>
        <w:adjustRightInd w:val="0"/>
        <w:spacing w:after="0" w:line="480" w:lineRule="auto"/>
        <w:ind w:left="640" w:hanging="640"/>
        <w:rPr>
          <w:rFonts w:cs="Arial"/>
          <w:noProof/>
          <w:lang w:val="en-US"/>
        </w:rPr>
      </w:pPr>
      <w:r w:rsidRPr="000C7C69">
        <w:rPr>
          <w:rFonts w:cs="Arial"/>
          <w:noProof/>
          <w:lang w:val="en-US"/>
        </w:rPr>
        <w:t xml:space="preserve">10. </w:t>
      </w:r>
      <w:r w:rsidRPr="000C7C69">
        <w:rPr>
          <w:rFonts w:cs="Arial"/>
          <w:noProof/>
          <w:lang w:val="en-US"/>
        </w:rPr>
        <w:tab/>
        <w:t xml:space="preserve">Weir MR, Bakris GL, Bushinsky DA, Mayo MR, Garza D, Stasiv Y, et al. Patiromer in patients with kidney disease and hyperkalemia receiving RAAS  inhibitors. N Engl J Med. 2015 Jan;372(3):211–21. </w:t>
      </w:r>
    </w:p>
    <w:p w14:paraId="33620896" w14:textId="19EE9FD3" w:rsidR="00866FBB" w:rsidRPr="000C7C69" w:rsidRDefault="00B24E84" w:rsidP="000C7C69">
      <w:pPr>
        <w:spacing w:line="480" w:lineRule="auto"/>
        <w:rPr>
          <w:rFonts w:cs="Arial"/>
        </w:rPr>
      </w:pPr>
      <w:r w:rsidRPr="000C7C69">
        <w:rPr>
          <w:rFonts w:eastAsia="Times New Roman" w:cs="Arial"/>
          <w:lang w:eastAsia="es-ES_tradnl"/>
        </w:rPr>
        <w:fldChar w:fldCharType="end"/>
      </w:r>
    </w:p>
    <w:sectPr w:rsidR="00866FBB" w:rsidRPr="000C7C69">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E5830FB" w14:textId="77777777" w:rsidR="002B2F01" w:rsidRDefault="002B2F01" w:rsidP="00064564">
      <w:r>
        <w:separator/>
      </w:r>
    </w:p>
  </w:endnote>
  <w:endnote w:type="continuationSeparator" w:id="0">
    <w:p w14:paraId="24E38F15" w14:textId="77777777" w:rsidR="002B2F01" w:rsidRDefault="002B2F01" w:rsidP="000645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BookAntiqua">
    <w:altName w:val="Book Antiqua"/>
    <w:panose1 w:val="020B0604020202020204"/>
    <w:charset w:val="4D"/>
    <w:family w:val="auto"/>
    <w:notTrueType/>
    <w:pitch w:val="default"/>
    <w:sig w:usb0="00000003" w:usb1="00000000" w:usb2="00000000" w:usb3="00000000" w:csb0="00000001" w:csb1="00000000"/>
  </w:font>
  <w:font w:name="BookAntiqua-Bold">
    <w:altName w:val="Book Antiqua"/>
    <w:panose1 w:val="020B0604020202020204"/>
    <w:charset w:val="4D"/>
    <w:family w:val="auto"/>
    <w:notTrueType/>
    <w:pitch w:val="default"/>
    <w:sig w:usb0="00000003" w:usb1="00000000" w:usb2="00000000" w:usb3="00000000" w:csb0="00000001" w:csb1="00000000"/>
  </w:font>
  <w:font w:name="Segoe UI">
    <w:panose1 w:val="020B0604020202020204"/>
    <w:charset w:val="00"/>
    <w:family w:val="swiss"/>
    <w:pitch w:val="variable"/>
    <w:sig w:usb0="E10022FF" w:usb1="C000E47F" w:usb2="00000029" w:usb3="00000000" w:csb0="000001DF" w:csb1="00000000"/>
  </w:font>
  <w:font w:name="Times New Roman (Cuerpo en alfa">
    <w:panose1 w:val="02020603050405020304"/>
    <w:charset w:val="00"/>
    <w:family w:val="roman"/>
    <w:pitch w:val="default"/>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A8B2FDB" w14:textId="77777777" w:rsidR="002B2F01" w:rsidRDefault="002B2F01" w:rsidP="00064564">
      <w:r>
        <w:separator/>
      </w:r>
    </w:p>
  </w:footnote>
  <w:footnote w:type="continuationSeparator" w:id="0">
    <w:p w14:paraId="502391EE" w14:textId="77777777" w:rsidR="002B2F01" w:rsidRDefault="002B2F01" w:rsidP="0006456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activeWritingStyle w:appName="MSWord" w:lang="pt-BR" w:vendorID="64" w:dllVersion="6" w:nlCheck="1" w:checkStyle="0"/>
  <w:activeWritingStyle w:appName="MSWord" w:lang="en-US" w:vendorID="64" w:dllVersion="6" w:nlCheck="1" w:checkStyle="1"/>
  <w:activeWritingStyle w:appName="MSWord" w:lang="es-ES" w:vendorID="64" w:dllVersion="6" w:nlCheck="1" w:checkStyle="1"/>
  <w:activeWritingStyle w:appName="MSWord" w:lang="es-ES_tradnl" w:vendorID="64" w:dllVersion="6" w:nlCheck="1" w:checkStyle="1"/>
  <w:activeWritingStyle w:appName="MSWord" w:lang="en-GB" w:vendorID="64" w:dllVersion="6" w:nlCheck="1" w:checkStyle="1"/>
  <w:activeWritingStyle w:appName="MSWord" w:lang="es-ES_tradnl" w:vendorID="64" w:dllVersion="4096" w:nlCheck="1" w:checkStyle="0"/>
  <w:activeWritingStyle w:appName="MSWord" w:lang="es-ES" w:vendorID="64" w:dllVersion="4096" w:nlCheck="1" w:checkStyle="0"/>
  <w:activeWritingStyle w:appName="MSWord" w:lang="en-US" w:vendorID="64" w:dllVersion="4096" w:nlCheck="1" w:checkStyle="0"/>
  <w:activeWritingStyle w:appName="MSWord" w:lang="pt-BR" w:vendorID="64" w:dllVersion="4096" w:nlCheck="1" w:checkStyle="0"/>
  <w:activeWritingStyle w:appName="MSWord" w:lang="en-GB" w:vendorID="64" w:dllVersion="4096" w:nlCheck="1" w:checkStyle="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stylePaneSortMethod w:val="00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64564"/>
    <w:rsid w:val="000026B6"/>
    <w:rsid w:val="0001549F"/>
    <w:rsid w:val="00024335"/>
    <w:rsid w:val="00053F5D"/>
    <w:rsid w:val="0006233D"/>
    <w:rsid w:val="00064564"/>
    <w:rsid w:val="0007756F"/>
    <w:rsid w:val="0009673F"/>
    <w:rsid w:val="000C7C69"/>
    <w:rsid w:val="000D34C6"/>
    <w:rsid w:val="000E0429"/>
    <w:rsid w:val="000E1959"/>
    <w:rsid w:val="000F655F"/>
    <w:rsid w:val="00134F63"/>
    <w:rsid w:val="00135267"/>
    <w:rsid w:val="001432B0"/>
    <w:rsid w:val="00171B38"/>
    <w:rsid w:val="001B2376"/>
    <w:rsid w:val="001B78A6"/>
    <w:rsid w:val="001D4532"/>
    <w:rsid w:val="001E10D9"/>
    <w:rsid w:val="001F2249"/>
    <w:rsid w:val="001F30C3"/>
    <w:rsid w:val="00276E5C"/>
    <w:rsid w:val="002912E6"/>
    <w:rsid w:val="002B2F01"/>
    <w:rsid w:val="002E2797"/>
    <w:rsid w:val="002E3B1B"/>
    <w:rsid w:val="002E51F6"/>
    <w:rsid w:val="002F138A"/>
    <w:rsid w:val="00305866"/>
    <w:rsid w:val="0033072B"/>
    <w:rsid w:val="00340334"/>
    <w:rsid w:val="003637F0"/>
    <w:rsid w:val="00365232"/>
    <w:rsid w:val="003A6DC1"/>
    <w:rsid w:val="00402300"/>
    <w:rsid w:val="00432309"/>
    <w:rsid w:val="00432808"/>
    <w:rsid w:val="00435818"/>
    <w:rsid w:val="00483907"/>
    <w:rsid w:val="00485796"/>
    <w:rsid w:val="00495992"/>
    <w:rsid w:val="004A1F37"/>
    <w:rsid w:val="004B0597"/>
    <w:rsid w:val="004B618B"/>
    <w:rsid w:val="004D6EA1"/>
    <w:rsid w:val="00524720"/>
    <w:rsid w:val="005632AF"/>
    <w:rsid w:val="00566366"/>
    <w:rsid w:val="00566ABF"/>
    <w:rsid w:val="005A38A9"/>
    <w:rsid w:val="005B4558"/>
    <w:rsid w:val="005C6E08"/>
    <w:rsid w:val="005C7C10"/>
    <w:rsid w:val="005E02A4"/>
    <w:rsid w:val="00605FC0"/>
    <w:rsid w:val="00606D62"/>
    <w:rsid w:val="006405F6"/>
    <w:rsid w:val="0065040E"/>
    <w:rsid w:val="006705A0"/>
    <w:rsid w:val="006F2AC4"/>
    <w:rsid w:val="006F4981"/>
    <w:rsid w:val="006F64AF"/>
    <w:rsid w:val="007356C1"/>
    <w:rsid w:val="00752A78"/>
    <w:rsid w:val="0078002E"/>
    <w:rsid w:val="00786464"/>
    <w:rsid w:val="007D4680"/>
    <w:rsid w:val="007E0EBB"/>
    <w:rsid w:val="00810CBD"/>
    <w:rsid w:val="008139FB"/>
    <w:rsid w:val="0082501E"/>
    <w:rsid w:val="008266B5"/>
    <w:rsid w:val="0084588A"/>
    <w:rsid w:val="0085433D"/>
    <w:rsid w:val="00866891"/>
    <w:rsid w:val="00866FBB"/>
    <w:rsid w:val="008C1823"/>
    <w:rsid w:val="008E0A92"/>
    <w:rsid w:val="008E3A84"/>
    <w:rsid w:val="00910C31"/>
    <w:rsid w:val="00917B39"/>
    <w:rsid w:val="009D2372"/>
    <w:rsid w:val="009E4312"/>
    <w:rsid w:val="00A15031"/>
    <w:rsid w:val="00A312C9"/>
    <w:rsid w:val="00A44F91"/>
    <w:rsid w:val="00A5754F"/>
    <w:rsid w:val="00AC4B16"/>
    <w:rsid w:val="00AE75BD"/>
    <w:rsid w:val="00B039CE"/>
    <w:rsid w:val="00B23F11"/>
    <w:rsid w:val="00B24E84"/>
    <w:rsid w:val="00B25F4A"/>
    <w:rsid w:val="00B4387D"/>
    <w:rsid w:val="00B4678C"/>
    <w:rsid w:val="00B63A7D"/>
    <w:rsid w:val="00B63B9A"/>
    <w:rsid w:val="00B729B2"/>
    <w:rsid w:val="00B91D32"/>
    <w:rsid w:val="00BB694C"/>
    <w:rsid w:val="00BE2074"/>
    <w:rsid w:val="00C23243"/>
    <w:rsid w:val="00C246C1"/>
    <w:rsid w:val="00C50981"/>
    <w:rsid w:val="00C642E4"/>
    <w:rsid w:val="00C719DF"/>
    <w:rsid w:val="00C97D9D"/>
    <w:rsid w:val="00CA02D1"/>
    <w:rsid w:val="00CB2BF8"/>
    <w:rsid w:val="00D03D0E"/>
    <w:rsid w:val="00D250D4"/>
    <w:rsid w:val="00D5115A"/>
    <w:rsid w:val="00D64D47"/>
    <w:rsid w:val="00D73D5F"/>
    <w:rsid w:val="00D90576"/>
    <w:rsid w:val="00D91BA9"/>
    <w:rsid w:val="00D93DBA"/>
    <w:rsid w:val="00DD65DF"/>
    <w:rsid w:val="00E13894"/>
    <w:rsid w:val="00E14042"/>
    <w:rsid w:val="00E17C17"/>
    <w:rsid w:val="00E84955"/>
    <w:rsid w:val="00E84F44"/>
    <w:rsid w:val="00E94126"/>
    <w:rsid w:val="00E9435E"/>
    <w:rsid w:val="00EB37EF"/>
    <w:rsid w:val="00ED5474"/>
    <w:rsid w:val="00EE214E"/>
    <w:rsid w:val="00EF1796"/>
    <w:rsid w:val="00F12777"/>
    <w:rsid w:val="00F25D76"/>
    <w:rsid w:val="00F5760A"/>
    <w:rsid w:val="00F84222"/>
    <w:rsid w:val="00F8690A"/>
    <w:rsid w:val="00F90CFE"/>
    <w:rsid w:val="00FA73E1"/>
    <w:rsid w:val="00FB236F"/>
    <w:rsid w:val="00FC29EC"/>
    <w:rsid w:val="00FD0566"/>
    <w:rsid w:val="00FE2812"/>
    <w:rsid w:val="00FF5543"/>
  </w:rsids>
  <m:mathPr>
    <m:mathFont m:val="Cambria Math"/>
    <m:brkBin m:val="before"/>
    <m:brkBinSub m:val="--"/>
    <m:smallFrac m:val="0"/>
    <m:dispDef/>
    <m:lMargin m:val="0"/>
    <m:rMargin m:val="0"/>
    <m:defJc m:val="centerGroup"/>
    <m:wrapIndent m:val="1440"/>
    <m:intLim m:val="subSup"/>
    <m:naryLim m:val="undOvr"/>
  </m:mathPr>
  <w:themeFontLang w:val="es-E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9FD5C2"/>
  <w15:chartTrackingRefBased/>
  <w15:docId w15:val="{314CE004-F183-4D6A-99C7-5B196A87F9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s-ES" w:eastAsia="en-US" w:bidi="ar-SA"/>
      </w:rPr>
    </w:rPrDefault>
    <w:pPrDefault/>
  </w:docDefaults>
  <w:latentStyles w:defLockedState="0" w:defUIPriority="99" w:defSemiHidden="0" w:defUnhideWhenUsed="0" w:defQFormat="0" w:count="375">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aliases w:val="sps_txtcaja"/>
    <w:qFormat/>
    <w:rsid w:val="00AC4B16"/>
    <w:pPr>
      <w:spacing w:after="160"/>
    </w:pPr>
    <w:rPr>
      <w:rFonts w:ascii="Arial" w:hAnsi="Aria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spsmoscarefsnum">
    <w:name w:val="sps_moscarefsnum"/>
    <w:uiPriority w:val="1"/>
    <w:qFormat/>
    <w:rsid w:val="00053F5D"/>
    <w:rPr>
      <w:color w:val="auto"/>
      <w:vertAlign w:val="superscript"/>
    </w:rPr>
  </w:style>
  <w:style w:type="paragraph" w:customStyle="1" w:styleId="spsfiguras">
    <w:name w:val="sps_figuras"/>
    <w:basedOn w:val="Normal"/>
    <w:uiPriority w:val="99"/>
    <w:rsid w:val="00053F5D"/>
    <w:pPr>
      <w:autoSpaceDE w:val="0"/>
      <w:autoSpaceDN w:val="0"/>
      <w:adjustRightInd w:val="0"/>
      <w:spacing w:before="170" w:line="270" w:lineRule="atLeast"/>
      <w:jc w:val="center"/>
      <w:textAlignment w:val="center"/>
    </w:pPr>
    <w:rPr>
      <w:rFonts w:cs="BookAntiqua"/>
      <w:color w:val="000000"/>
      <w:szCs w:val="18"/>
    </w:rPr>
  </w:style>
  <w:style w:type="paragraph" w:customStyle="1" w:styleId="spstablastexto">
    <w:name w:val="sps_tablas_texto"/>
    <w:basedOn w:val="Normal"/>
    <w:uiPriority w:val="99"/>
    <w:rsid w:val="00053F5D"/>
    <w:pPr>
      <w:autoSpaceDE w:val="0"/>
      <w:autoSpaceDN w:val="0"/>
      <w:adjustRightInd w:val="0"/>
      <w:spacing w:line="200" w:lineRule="atLeast"/>
      <w:textAlignment w:val="center"/>
    </w:pPr>
    <w:rPr>
      <w:rFonts w:cs="BookAntiqua"/>
      <w:color w:val="000000"/>
    </w:rPr>
  </w:style>
  <w:style w:type="paragraph" w:customStyle="1" w:styleId="spstablasepig">
    <w:name w:val="sps_tablas_epig"/>
    <w:basedOn w:val="spstablastexto"/>
    <w:uiPriority w:val="99"/>
    <w:rsid w:val="00053F5D"/>
    <w:rPr>
      <w:rFonts w:cs="BookAntiqua-Bold"/>
      <w:b/>
      <w:bCs/>
      <w:color w:val="auto"/>
    </w:rPr>
  </w:style>
  <w:style w:type="character" w:customStyle="1" w:styleId="spsnegritas">
    <w:name w:val="sps_negritas"/>
    <w:uiPriority w:val="99"/>
    <w:rsid w:val="00053F5D"/>
    <w:rPr>
      <w:b/>
      <w:bCs/>
    </w:rPr>
  </w:style>
  <w:style w:type="character" w:customStyle="1" w:styleId="spssubindices">
    <w:name w:val="sps_subindices"/>
    <w:uiPriority w:val="99"/>
    <w:rsid w:val="00053F5D"/>
    <w:rPr>
      <w:vertAlign w:val="subscript"/>
    </w:rPr>
  </w:style>
  <w:style w:type="character" w:customStyle="1" w:styleId="spscursivas">
    <w:name w:val="sps_cursivas"/>
    <w:uiPriority w:val="99"/>
    <w:rsid w:val="00053F5D"/>
    <w:rPr>
      <w:i/>
      <w:iCs/>
    </w:rPr>
  </w:style>
  <w:style w:type="character" w:customStyle="1" w:styleId="spssuperindices">
    <w:name w:val="sps_superindices"/>
    <w:uiPriority w:val="99"/>
    <w:rsid w:val="00053F5D"/>
    <w:rPr>
      <w:vertAlign w:val="superscript"/>
    </w:rPr>
  </w:style>
  <w:style w:type="paragraph" w:customStyle="1" w:styleId="spsdoi">
    <w:name w:val="sps_doi"/>
    <w:basedOn w:val="Normal"/>
    <w:next w:val="spsseccion"/>
    <w:qFormat/>
    <w:rsid w:val="00053F5D"/>
    <w:pPr>
      <w:jc w:val="right"/>
    </w:pPr>
  </w:style>
  <w:style w:type="paragraph" w:customStyle="1" w:styleId="spsseccion">
    <w:name w:val="sps_seccion"/>
    <w:basedOn w:val="Normal"/>
    <w:next w:val="spstitulooriginal"/>
    <w:qFormat/>
    <w:rsid w:val="00053F5D"/>
    <w:pPr>
      <w:jc w:val="right"/>
    </w:pPr>
  </w:style>
  <w:style w:type="paragraph" w:customStyle="1" w:styleId="spstitulooriginal">
    <w:name w:val="sps_titulo_original"/>
    <w:basedOn w:val="Normal"/>
    <w:qFormat/>
    <w:rsid w:val="00053F5D"/>
    <w:pPr>
      <w:jc w:val="center"/>
    </w:pPr>
    <w:rPr>
      <w:b/>
      <w:sz w:val="28"/>
    </w:rPr>
  </w:style>
  <w:style w:type="paragraph" w:customStyle="1" w:styleId="spstitulotraduc">
    <w:name w:val="sps_titulo_traduc"/>
    <w:basedOn w:val="spstitulooriginal"/>
    <w:qFormat/>
    <w:rsid w:val="00053F5D"/>
  </w:style>
  <w:style w:type="paragraph" w:customStyle="1" w:styleId="spsautores">
    <w:name w:val="sps_autores"/>
    <w:basedOn w:val="Normal"/>
    <w:qFormat/>
    <w:rsid w:val="00053F5D"/>
  </w:style>
  <w:style w:type="paragraph" w:customStyle="1" w:styleId="spsafiliaciones">
    <w:name w:val="sps_afiliaciones"/>
    <w:basedOn w:val="Normal"/>
    <w:qFormat/>
    <w:rsid w:val="00053F5D"/>
  </w:style>
  <w:style w:type="paragraph" w:customStyle="1" w:styleId="spscorrespondencia">
    <w:name w:val="sps_correspondencia"/>
    <w:basedOn w:val="Normal"/>
    <w:qFormat/>
    <w:rsid w:val="00053F5D"/>
  </w:style>
  <w:style w:type="paragraph" w:customStyle="1" w:styleId="spsresumentit">
    <w:name w:val="sps_resumen_tit"/>
    <w:basedOn w:val="Normal"/>
    <w:qFormat/>
    <w:rsid w:val="00053F5D"/>
    <w:rPr>
      <w:b/>
    </w:rPr>
  </w:style>
  <w:style w:type="paragraph" w:customStyle="1" w:styleId="spsresumtxt">
    <w:name w:val="sps_resum_txt"/>
    <w:basedOn w:val="Normal"/>
    <w:qFormat/>
    <w:rsid w:val="00053F5D"/>
  </w:style>
  <w:style w:type="paragraph" w:customStyle="1" w:styleId="spspalabrasclave">
    <w:name w:val="sps_palabrasclave"/>
    <w:basedOn w:val="spsresumtxt"/>
    <w:qFormat/>
    <w:rsid w:val="00053F5D"/>
  </w:style>
  <w:style w:type="paragraph" w:customStyle="1" w:styleId="spsabstracttitulo">
    <w:name w:val="sps_abstract_titulo"/>
    <w:basedOn w:val="spsresumentit"/>
    <w:qFormat/>
    <w:rsid w:val="00053F5D"/>
  </w:style>
  <w:style w:type="paragraph" w:customStyle="1" w:styleId="spsabstracttxt">
    <w:name w:val="sps_abstract_txt"/>
    <w:basedOn w:val="spsresumtxt"/>
    <w:qFormat/>
    <w:rsid w:val="00053F5D"/>
  </w:style>
  <w:style w:type="paragraph" w:customStyle="1" w:styleId="spskeywords">
    <w:name w:val="sps_keywords"/>
    <w:basedOn w:val="spspalabrasclave"/>
    <w:qFormat/>
    <w:rsid w:val="00053F5D"/>
  </w:style>
  <w:style w:type="paragraph" w:customStyle="1" w:styleId="spsfinanciacion">
    <w:name w:val="sps_financiacion"/>
    <w:basedOn w:val="Normal"/>
    <w:qFormat/>
    <w:rsid w:val="00053F5D"/>
  </w:style>
  <w:style w:type="paragraph" w:customStyle="1" w:styleId="spsconflictinteres">
    <w:name w:val="sps_conflictinteres"/>
    <w:basedOn w:val="spsfinanciacion"/>
    <w:qFormat/>
    <w:rsid w:val="00053F5D"/>
  </w:style>
  <w:style w:type="paragraph" w:customStyle="1" w:styleId="spsfechas">
    <w:name w:val="sps_fechas"/>
    <w:basedOn w:val="spsfinanciacion"/>
    <w:qFormat/>
    <w:rsid w:val="00053F5D"/>
  </w:style>
  <w:style w:type="paragraph" w:customStyle="1" w:styleId="spstitsecc1">
    <w:name w:val="sps_tit_secc_1"/>
    <w:basedOn w:val="Normal"/>
    <w:qFormat/>
    <w:rsid w:val="00053F5D"/>
    <w:pPr>
      <w:jc w:val="center"/>
    </w:pPr>
    <w:rPr>
      <w:b/>
      <w:sz w:val="32"/>
    </w:rPr>
  </w:style>
  <w:style w:type="paragraph" w:customStyle="1" w:styleId="spstitsecc2">
    <w:name w:val="sps_tit_secc_2"/>
    <w:basedOn w:val="spstitsecc1"/>
    <w:qFormat/>
    <w:rsid w:val="00053F5D"/>
    <w:rPr>
      <w:sz w:val="28"/>
    </w:rPr>
  </w:style>
  <w:style w:type="paragraph" w:customStyle="1" w:styleId="spsreferenciasnum">
    <w:name w:val="sps_referencias_num"/>
    <w:basedOn w:val="Normal"/>
    <w:uiPriority w:val="99"/>
    <w:qFormat/>
    <w:rsid w:val="00053F5D"/>
  </w:style>
  <w:style w:type="paragraph" w:customStyle="1" w:styleId="spsreferentitulo">
    <w:name w:val="sps_referen_titulo"/>
    <w:basedOn w:val="spsreferenciasnum"/>
    <w:qFormat/>
    <w:rsid w:val="00053F5D"/>
    <w:rPr>
      <w:b/>
    </w:rPr>
  </w:style>
  <w:style w:type="paragraph" w:customStyle="1" w:styleId="spsfigurtitulo">
    <w:name w:val="sps_figur_titulo"/>
    <w:basedOn w:val="Normal"/>
    <w:qFormat/>
    <w:rsid w:val="00053F5D"/>
    <w:pPr>
      <w:jc w:val="center"/>
    </w:pPr>
  </w:style>
  <w:style w:type="character" w:customStyle="1" w:styleId="spsmoscaaff">
    <w:name w:val="sps_mosca_aff"/>
    <w:uiPriority w:val="1"/>
    <w:qFormat/>
    <w:rsid w:val="00053F5D"/>
    <w:rPr>
      <w:vertAlign w:val="superscript"/>
    </w:rPr>
  </w:style>
  <w:style w:type="character" w:customStyle="1" w:styleId="Mencinsinresolver1">
    <w:name w:val="Mención sin resolver1"/>
    <w:basedOn w:val="Fuentedeprrafopredeter"/>
    <w:uiPriority w:val="99"/>
    <w:semiHidden/>
    <w:unhideWhenUsed/>
    <w:rsid w:val="00053F5D"/>
    <w:rPr>
      <w:color w:val="605E5C"/>
      <w:shd w:val="clear" w:color="auto" w:fill="E1DFDD"/>
    </w:rPr>
  </w:style>
  <w:style w:type="paragraph" w:customStyle="1" w:styleId="spslineablanca">
    <w:name w:val="sps_lineablanca"/>
    <w:basedOn w:val="Normal"/>
    <w:qFormat/>
    <w:rsid w:val="00A44F91"/>
    <w:rPr>
      <w:color w:val="FFD966" w:themeColor="accent4" w:themeTint="99"/>
      <w:lang w:val="es-ES_tradnl"/>
    </w:rPr>
  </w:style>
  <w:style w:type="paragraph" w:customStyle="1" w:styleId="spsinstrucciones">
    <w:name w:val="sps_instrucciones"/>
    <w:basedOn w:val="spslineablanca"/>
    <w:qFormat/>
    <w:rsid w:val="00053F5D"/>
    <w:rPr>
      <w:b/>
      <w:color w:val="FF0000"/>
    </w:rPr>
  </w:style>
  <w:style w:type="paragraph" w:styleId="Textonotapie">
    <w:name w:val="footnote text"/>
    <w:aliases w:val="sps_notaspie"/>
    <w:basedOn w:val="Normal"/>
    <w:link w:val="TextonotapieCar"/>
    <w:uiPriority w:val="99"/>
    <w:unhideWhenUsed/>
    <w:rsid w:val="00053F5D"/>
    <w:rPr>
      <w:sz w:val="18"/>
    </w:rPr>
  </w:style>
  <w:style w:type="character" w:customStyle="1" w:styleId="TextonotapieCar">
    <w:name w:val="Texto nota pie Car"/>
    <w:aliases w:val="sps_notaspie Car"/>
    <w:basedOn w:val="Fuentedeprrafopredeter"/>
    <w:link w:val="Textonotapie"/>
    <w:uiPriority w:val="99"/>
    <w:rsid w:val="00053F5D"/>
    <w:rPr>
      <w:sz w:val="18"/>
    </w:rPr>
  </w:style>
  <w:style w:type="character" w:styleId="Refdenotaalpie">
    <w:name w:val="footnote reference"/>
    <w:aliases w:val="sps_moscanotas"/>
    <w:uiPriority w:val="99"/>
    <w:unhideWhenUsed/>
    <w:rsid w:val="00053F5D"/>
    <w:rPr>
      <w:vertAlign w:val="superscript"/>
    </w:rPr>
  </w:style>
  <w:style w:type="character" w:styleId="Hipervnculo">
    <w:name w:val="Hyperlink"/>
    <w:basedOn w:val="Fuentedeprrafopredeter"/>
    <w:uiPriority w:val="99"/>
    <w:unhideWhenUsed/>
    <w:rsid w:val="00053F5D"/>
    <w:rPr>
      <w:color w:val="0000FF"/>
      <w:u w:val="single"/>
    </w:rPr>
  </w:style>
  <w:style w:type="character" w:styleId="Hipervnculovisitado">
    <w:name w:val="FollowedHyperlink"/>
    <w:basedOn w:val="Fuentedeprrafopredeter"/>
    <w:uiPriority w:val="99"/>
    <w:semiHidden/>
    <w:unhideWhenUsed/>
    <w:rsid w:val="00053F5D"/>
    <w:rPr>
      <w:color w:val="800080"/>
      <w:u w:val="single"/>
    </w:rPr>
  </w:style>
  <w:style w:type="paragraph" w:styleId="Textodeglobo">
    <w:name w:val="Balloon Text"/>
    <w:basedOn w:val="Normal"/>
    <w:link w:val="TextodegloboCar"/>
    <w:uiPriority w:val="99"/>
    <w:semiHidden/>
    <w:unhideWhenUsed/>
    <w:rsid w:val="00053F5D"/>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53F5D"/>
    <w:rPr>
      <w:rFonts w:ascii="Segoe UI" w:hAnsi="Segoe UI" w:cs="Segoe UI"/>
      <w:sz w:val="18"/>
      <w:szCs w:val="18"/>
    </w:rPr>
  </w:style>
  <w:style w:type="paragraph" w:customStyle="1" w:styleId="spstitsecc3">
    <w:name w:val="sps_tit_secc_3"/>
    <w:basedOn w:val="spstitsecc2"/>
    <w:qFormat/>
    <w:rsid w:val="005C7C10"/>
    <w:rPr>
      <w:sz w:val="26"/>
      <w:lang w:val="es-ES_tradnl"/>
    </w:rPr>
  </w:style>
  <w:style w:type="paragraph" w:customStyle="1" w:styleId="spstablasnotas">
    <w:name w:val="sps_tablas_notas"/>
    <w:basedOn w:val="spstablastexto"/>
    <w:qFormat/>
    <w:rsid w:val="0006233D"/>
    <w:pPr>
      <w:jc w:val="center"/>
    </w:pPr>
    <w:rPr>
      <w:lang w:val="es-ES_tradnl" w:eastAsia="es-ES_tradnl"/>
    </w:rPr>
  </w:style>
  <w:style w:type="table" w:styleId="Tablaconcuadrcula">
    <w:name w:val="Table Grid"/>
    <w:basedOn w:val="Tablanormal"/>
    <w:uiPriority w:val="59"/>
    <w:rsid w:val="001B78A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485796"/>
    <w:pPr>
      <w:ind w:left="720"/>
      <w:contextualSpacing/>
    </w:pPr>
  </w:style>
  <w:style w:type="character" w:styleId="Textodelmarcadordeposicin">
    <w:name w:val="Placeholder Text"/>
    <w:basedOn w:val="Fuentedeprrafopredeter"/>
    <w:uiPriority w:val="99"/>
    <w:semiHidden/>
    <w:rsid w:val="00C246C1"/>
    <w:rPr>
      <w:color w:val="808080"/>
    </w:rPr>
  </w:style>
  <w:style w:type="character" w:customStyle="1" w:styleId="Mencinsinresolver2">
    <w:name w:val="Mención sin resolver2"/>
    <w:basedOn w:val="Fuentedeprrafopredeter"/>
    <w:uiPriority w:val="99"/>
    <w:semiHidden/>
    <w:unhideWhenUsed/>
    <w:rsid w:val="00566366"/>
    <w:rPr>
      <w:color w:val="605E5C"/>
      <w:shd w:val="clear" w:color="auto" w:fill="E1DFDD"/>
    </w:rPr>
  </w:style>
  <w:style w:type="paragraph" w:customStyle="1" w:styleId="spscitasdos">
    <w:name w:val="sps_citas_dos"/>
    <w:basedOn w:val="Normal"/>
    <w:qFormat/>
    <w:rsid w:val="00402300"/>
    <w:pPr>
      <w:ind w:left="2268"/>
    </w:pPr>
  </w:style>
  <w:style w:type="character" w:styleId="Refdecomentario">
    <w:name w:val="annotation reference"/>
    <w:basedOn w:val="Fuentedeprrafopredeter"/>
    <w:uiPriority w:val="99"/>
    <w:semiHidden/>
    <w:unhideWhenUsed/>
    <w:rsid w:val="00F84222"/>
    <w:rPr>
      <w:sz w:val="16"/>
      <w:szCs w:val="16"/>
    </w:rPr>
  </w:style>
  <w:style w:type="paragraph" w:styleId="Textocomentario">
    <w:name w:val="annotation text"/>
    <w:basedOn w:val="Normal"/>
    <w:link w:val="TextocomentarioCar"/>
    <w:uiPriority w:val="99"/>
    <w:semiHidden/>
    <w:unhideWhenUsed/>
    <w:rsid w:val="00F84222"/>
    <w:rPr>
      <w:sz w:val="20"/>
      <w:szCs w:val="20"/>
    </w:rPr>
  </w:style>
  <w:style w:type="character" w:customStyle="1" w:styleId="TextocomentarioCar">
    <w:name w:val="Texto comentario Car"/>
    <w:basedOn w:val="Fuentedeprrafopredeter"/>
    <w:link w:val="Textocomentario"/>
    <w:uiPriority w:val="99"/>
    <w:semiHidden/>
    <w:rsid w:val="00F84222"/>
    <w:rPr>
      <w:rFonts w:ascii="Arial" w:hAnsi="Arial"/>
      <w:sz w:val="20"/>
      <w:szCs w:val="20"/>
    </w:rPr>
  </w:style>
  <w:style w:type="paragraph" w:styleId="Asuntodelcomentario">
    <w:name w:val="annotation subject"/>
    <w:basedOn w:val="Textocomentario"/>
    <w:next w:val="Textocomentario"/>
    <w:link w:val="AsuntodelcomentarioCar"/>
    <w:uiPriority w:val="99"/>
    <w:semiHidden/>
    <w:unhideWhenUsed/>
    <w:rsid w:val="00F84222"/>
    <w:rPr>
      <w:b/>
      <w:bCs/>
    </w:rPr>
  </w:style>
  <w:style w:type="character" w:customStyle="1" w:styleId="AsuntodelcomentarioCar">
    <w:name w:val="Asunto del comentario Car"/>
    <w:basedOn w:val="TextocomentarioCar"/>
    <w:link w:val="Asuntodelcomentario"/>
    <w:uiPriority w:val="99"/>
    <w:semiHidden/>
    <w:rsid w:val="00F84222"/>
    <w:rPr>
      <w:rFonts w:ascii="Arial" w:hAnsi="Arial"/>
      <w:b/>
      <w:bCs/>
      <w:sz w:val="20"/>
      <w:szCs w:val="20"/>
    </w:rPr>
  </w:style>
  <w:style w:type="paragraph" w:styleId="Descripcin">
    <w:name w:val="caption"/>
    <w:basedOn w:val="Normal"/>
    <w:next w:val="Normal"/>
    <w:uiPriority w:val="35"/>
    <w:unhideWhenUsed/>
    <w:qFormat/>
    <w:rsid w:val="00024335"/>
    <w:pPr>
      <w:spacing w:after="200"/>
    </w:pPr>
    <w:rPr>
      <w:i/>
      <w:iCs/>
      <w:color w:val="44546A" w:themeColor="text2"/>
      <w:sz w:val="18"/>
      <w:szCs w:val="18"/>
    </w:rPr>
  </w:style>
  <w:style w:type="paragraph" w:styleId="NormalWeb">
    <w:name w:val="Normal (Web)"/>
    <w:basedOn w:val="Normal"/>
    <w:uiPriority w:val="99"/>
    <w:unhideWhenUsed/>
    <w:rsid w:val="00024335"/>
    <w:pPr>
      <w:spacing w:before="100" w:beforeAutospacing="1" w:after="100" w:afterAutospacing="1"/>
    </w:pPr>
    <w:rPr>
      <w:rFonts w:ascii="Times New Roman" w:eastAsia="Times New Roman" w:hAnsi="Times New Roman" w:cs="Times New Roman"/>
      <w:lang w:eastAsia="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78869585">
      <w:bodyDiv w:val="1"/>
      <w:marLeft w:val="0"/>
      <w:marRight w:val="0"/>
      <w:marTop w:val="0"/>
      <w:marBottom w:val="0"/>
      <w:divBdr>
        <w:top w:val="none" w:sz="0" w:space="0" w:color="auto"/>
        <w:left w:val="none" w:sz="0" w:space="0" w:color="auto"/>
        <w:bottom w:val="none" w:sz="0" w:space="0" w:color="auto"/>
        <w:right w:val="none" w:sz="0" w:space="0" w:color="auto"/>
      </w:divBdr>
      <w:divsChild>
        <w:div w:id="610864694">
          <w:marLeft w:val="0"/>
          <w:marRight w:val="0"/>
          <w:marTop w:val="0"/>
          <w:marBottom w:val="0"/>
          <w:divBdr>
            <w:top w:val="none" w:sz="0" w:space="0" w:color="auto"/>
            <w:left w:val="none" w:sz="0" w:space="0" w:color="auto"/>
            <w:bottom w:val="none" w:sz="0" w:space="0" w:color="auto"/>
            <w:right w:val="none" w:sz="0" w:space="0" w:color="auto"/>
          </w:divBdr>
          <w:divsChild>
            <w:div w:id="783498031">
              <w:marLeft w:val="0"/>
              <w:marRight w:val="0"/>
              <w:marTop w:val="0"/>
              <w:marBottom w:val="0"/>
              <w:divBdr>
                <w:top w:val="none" w:sz="0" w:space="0" w:color="auto"/>
                <w:left w:val="none" w:sz="0" w:space="0" w:color="auto"/>
                <w:bottom w:val="none" w:sz="0" w:space="0" w:color="auto"/>
                <w:right w:val="none" w:sz="0" w:space="0" w:color="auto"/>
              </w:divBdr>
              <w:divsChild>
                <w:div w:id="629438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webSettings" Target="webSettings.xml"/><Relationship Id="rId7" Type="http://schemas.openxmlformats.org/officeDocument/2006/relationships/hyperlink" Target="http://www.scielo.org.mx/avaliacao/manual_marcacion/preparacion_archivos.html"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nlm.nih.gov/bsd/uniform_requirements.html"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3.jpg"/><Relationship Id="rId4" Type="http://schemas.openxmlformats.org/officeDocument/2006/relationships/footnotes" Target="footnotes.xml"/><Relationship Id="rId9"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10</Pages>
  <Words>9159</Words>
  <Characters>51199</Characters>
  <Application>Microsoft Office Word</Application>
  <DocSecurity>0</DocSecurity>
  <Lines>867</Lines>
  <Paragraphs>90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60268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paco</dc:creator>
  <cp:keywords/>
  <dc:description/>
  <cp:lastModifiedBy>Usuario de Microsoft Office</cp:lastModifiedBy>
  <cp:revision>3</cp:revision>
  <dcterms:created xsi:type="dcterms:W3CDTF">2021-01-31T11:16:00Z</dcterms:created>
  <dcterms:modified xsi:type="dcterms:W3CDTF">2021-01-31T11:23:00Z</dcterms:modified>
</cp:coreProperties>
</file>