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35863" w14:textId="77777777" w:rsidR="00064564" w:rsidRPr="00605FC0" w:rsidRDefault="00064564" w:rsidP="00A13C90">
      <w:pPr>
        <w:pStyle w:val="spslineablanca"/>
      </w:pPr>
      <w:r w:rsidRPr="00605FC0">
        <w:t>NO BORRAR esta línea, reservada para el DOI:10.30827/revista.v0i0.0000</w:t>
      </w:r>
    </w:p>
    <w:p w14:paraId="37C27CCC" w14:textId="77777777" w:rsidR="00064564" w:rsidRPr="00605FC0" w:rsidRDefault="00064564" w:rsidP="00A13C90">
      <w:pPr>
        <w:pStyle w:val="spslineablanca"/>
      </w:pPr>
      <w:r w:rsidRPr="00605FC0">
        <w:t>NO BORRAR: reservada para Sección del trabajo (p. ej. Artículos; Notas…)</w:t>
      </w:r>
    </w:p>
    <w:p w14:paraId="4EB42F3C" w14:textId="77777777" w:rsidR="001F122D" w:rsidRPr="001F122D" w:rsidRDefault="001F122D" w:rsidP="001F122D">
      <w:pPr>
        <w:jc w:val="center"/>
        <w:rPr>
          <w:b/>
          <w:bCs/>
          <w:sz w:val="28"/>
          <w:szCs w:val="28"/>
        </w:rPr>
      </w:pPr>
      <w:r w:rsidRPr="001F122D">
        <w:rPr>
          <w:b/>
          <w:bCs/>
          <w:sz w:val="28"/>
          <w:szCs w:val="28"/>
        </w:rPr>
        <w:t>Intervenciones desde la farmacia comunitaria en los pacientes adultos que reciben atención de la salud a domicilio: revisión exploratoria</w:t>
      </w:r>
    </w:p>
    <w:p w14:paraId="16086149" w14:textId="77777777" w:rsidR="001F122D" w:rsidRDefault="001F122D" w:rsidP="00064564">
      <w:pPr>
        <w:pStyle w:val="spstitulotraduc"/>
        <w:rPr>
          <w:lang w:val="es-ES_tradnl"/>
        </w:rPr>
      </w:pPr>
    </w:p>
    <w:p w14:paraId="408A793D" w14:textId="78C197FC" w:rsidR="000F790D" w:rsidRPr="000F790D" w:rsidRDefault="000F790D" w:rsidP="000F790D">
      <w:pPr>
        <w:pStyle w:val="spslineablanca"/>
        <w:jc w:val="center"/>
        <w:rPr>
          <w:b/>
          <w:bCs/>
          <w:color w:val="000000" w:themeColor="text1"/>
          <w:sz w:val="28"/>
          <w:szCs w:val="28"/>
        </w:rPr>
      </w:pPr>
      <w:r w:rsidRPr="000F790D">
        <w:rPr>
          <w:b/>
          <w:bCs/>
          <w:color w:val="000000" w:themeColor="text1"/>
          <w:sz w:val="28"/>
          <w:szCs w:val="28"/>
        </w:rPr>
        <w:t>Community pharmacy interventions in adult patients receiving home health care: an exploratory review.</w:t>
      </w:r>
    </w:p>
    <w:p w14:paraId="11C19E3D" w14:textId="1B59E00B" w:rsidR="00064564" w:rsidRDefault="00064564" w:rsidP="00064564">
      <w:pPr>
        <w:pStyle w:val="spslineablanca"/>
      </w:pPr>
      <w:r>
        <w:t>No borrar esta línea en blanco, es necesaria para automatizar la edición</w:t>
      </w:r>
    </w:p>
    <w:p w14:paraId="7686926A" w14:textId="0C9DC951" w:rsidR="00064564" w:rsidRDefault="000F790D" w:rsidP="00064564">
      <w:pPr>
        <w:pStyle w:val="spsautores"/>
        <w:rPr>
          <w:lang w:val="es-ES_tradnl"/>
        </w:rPr>
      </w:pPr>
      <w:r w:rsidRPr="000F790D">
        <w:rPr>
          <w:lang w:val="es-ES_tradnl"/>
        </w:rPr>
        <w:t>Jessica Sánchez</w:t>
      </w:r>
      <w:r>
        <w:rPr>
          <w:lang w:val="es-ES_tradnl"/>
        </w:rPr>
        <w:t>-</w:t>
      </w:r>
      <w:r w:rsidRPr="000F790D">
        <w:rPr>
          <w:lang w:val="es-ES_tradnl"/>
        </w:rPr>
        <w:t>Moya</w:t>
      </w:r>
      <w:r w:rsidR="00064564" w:rsidRPr="00971788">
        <w:rPr>
          <w:rStyle w:val="spsmoscaaff"/>
        </w:rPr>
        <w:t>1</w:t>
      </w:r>
    </w:p>
    <w:p w14:paraId="23ABF2B5" w14:textId="4E45F35C" w:rsidR="00064564" w:rsidRDefault="000F790D" w:rsidP="00064564">
      <w:pPr>
        <w:pStyle w:val="spsautores"/>
        <w:rPr>
          <w:lang w:val="es-ES_tradnl"/>
        </w:rPr>
      </w:pPr>
      <w:r>
        <w:rPr>
          <w:lang w:val="es-ES_tradnl"/>
        </w:rPr>
        <w:t>Javier Sanz-Valero</w:t>
      </w:r>
      <w:r w:rsidR="00064564" w:rsidRPr="00971788">
        <w:rPr>
          <w:rStyle w:val="spsmoscaaff"/>
        </w:rPr>
        <w:t>2</w:t>
      </w:r>
      <w:r>
        <w:rPr>
          <w:rStyle w:val="spsmoscaaff"/>
        </w:rPr>
        <w:t>,3</w:t>
      </w:r>
    </w:p>
    <w:p w14:paraId="168AC985" w14:textId="07CC0D2D" w:rsidR="00064564" w:rsidRDefault="000F790D" w:rsidP="00064564">
      <w:pPr>
        <w:pStyle w:val="spsautores"/>
        <w:rPr>
          <w:lang w:val="es-ES_tradnl"/>
        </w:rPr>
      </w:pPr>
      <w:r>
        <w:rPr>
          <w:lang w:val="es-ES_tradnl"/>
        </w:rPr>
        <w:t>Elsa López-Pintor</w:t>
      </w:r>
      <w:r>
        <w:rPr>
          <w:rStyle w:val="spsmoscaaff"/>
        </w:rPr>
        <w:t>4</w:t>
      </w:r>
    </w:p>
    <w:p w14:paraId="6561BCE5" w14:textId="77777777" w:rsidR="00064564" w:rsidRDefault="00064564" w:rsidP="00064564">
      <w:pPr>
        <w:pStyle w:val="spslineablanca"/>
      </w:pPr>
      <w:r>
        <w:t>No borrar esta línea en blanco</w:t>
      </w:r>
    </w:p>
    <w:p w14:paraId="71988544" w14:textId="6D6A54CE" w:rsidR="00064564" w:rsidRDefault="00064564" w:rsidP="00064564">
      <w:pPr>
        <w:pStyle w:val="spsinstrucciones"/>
      </w:pPr>
      <w:r>
        <w:t xml:space="preserve">El número de la afiliación va en superíndice y no se separa con un espacio. La afiliación deber jerarquizarse en: </w:t>
      </w:r>
      <w:r w:rsidR="001E10D9">
        <w:t>Universidad, Facultad, Departamento, Ciudad, País</w:t>
      </w:r>
      <w:r>
        <w:t>.</w:t>
      </w:r>
    </w:p>
    <w:p w14:paraId="03ABCDA8" w14:textId="69C5DA86" w:rsidR="00FC649F" w:rsidRPr="00FC649F" w:rsidRDefault="00064564" w:rsidP="00FC649F">
      <w:pPr>
        <w:pStyle w:val="spsafiliaciones"/>
        <w:jc w:val="both"/>
        <w:rPr>
          <w:lang w:val="es-ES_tradnl"/>
        </w:rPr>
      </w:pPr>
      <w:r w:rsidRPr="00971788">
        <w:rPr>
          <w:rStyle w:val="spsmoscaaff"/>
        </w:rPr>
        <w:t>1</w:t>
      </w:r>
      <w:r w:rsidR="00FC649F" w:rsidRPr="00FC649F">
        <w:rPr>
          <w:lang w:val="es-ES_tradnl"/>
        </w:rPr>
        <w:t>Universidad Miguel Hernández. Facultad de Farmacia, Campus de Sant Joan d’Alacant. Alicante. España.</w:t>
      </w:r>
    </w:p>
    <w:p w14:paraId="7D8497DA" w14:textId="1BDEB1E3" w:rsidR="00FC649F" w:rsidRPr="00FC649F" w:rsidRDefault="00FC649F" w:rsidP="00FC649F">
      <w:pPr>
        <w:pStyle w:val="spsafiliaciones"/>
        <w:jc w:val="both"/>
        <w:rPr>
          <w:lang w:val="es-ES_tradnl"/>
        </w:rPr>
      </w:pPr>
      <w:r w:rsidRPr="00FC649F">
        <w:rPr>
          <w:vertAlign w:val="superscript"/>
          <w:lang w:val="es-ES_tradnl"/>
        </w:rPr>
        <w:t>2</w:t>
      </w:r>
      <w:r>
        <w:rPr>
          <w:lang w:val="es-ES_tradnl"/>
        </w:rPr>
        <w:t>Instituto de Salud Carlos III. Escuela Nacional de Medicina del Trabajo. Madrid. España.</w:t>
      </w:r>
    </w:p>
    <w:p w14:paraId="0ABB9056" w14:textId="77777777" w:rsidR="00FC649F" w:rsidRDefault="00FC649F" w:rsidP="00FC649F">
      <w:pPr>
        <w:pStyle w:val="spsafiliaciones"/>
        <w:jc w:val="both"/>
        <w:rPr>
          <w:lang w:val="es-ES_tradnl"/>
        </w:rPr>
      </w:pPr>
      <w:r w:rsidRPr="00FC649F">
        <w:rPr>
          <w:vertAlign w:val="superscript"/>
          <w:lang w:val="es-ES_tradnl"/>
        </w:rPr>
        <w:t>3</w:t>
      </w:r>
      <w:r w:rsidRPr="00FC649F">
        <w:rPr>
          <w:lang w:val="es-ES_tradnl"/>
        </w:rPr>
        <w:t>Universidad Miguel Hernández. Departamento de Salud Pública e Historia de la Ciencia, Campus de Sant</w:t>
      </w:r>
      <w:r>
        <w:rPr>
          <w:lang w:val="es-ES_tradnl"/>
        </w:rPr>
        <w:t xml:space="preserve"> </w:t>
      </w:r>
      <w:r w:rsidRPr="00FC649F">
        <w:rPr>
          <w:lang w:val="es-ES_tradnl"/>
        </w:rPr>
        <w:t>Joan d’Alacant. Alicante. España.</w:t>
      </w:r>
    </w:p>
    <w:p w14:paraId="65A58161" w14:textId="74BAA6AF" w:rsidR="00064564" w:rsidRDefault="00A26B9F" w:rsidP="00FC649F">
      <w:pPr>
        <w:pStyle w:val="spsafiliaciones"/>
        <w:jc w:val="both"/>
        <w:rPr>
          <w:lang w:val="es-ES_tradnl"/>
        </w:rPr>
      </w:pPr>
      <w:r>
        <w:rPr>
          <w:rStyle w:val="spsmoscaaff"/>
        </w:rPr>
        <w:t>4</w:t>
      </w:r>
      <w:r>
        <w:rPr>
          <w:rStyle w:val="spsmoscaaff"/>
          <w:vertAlign w:val="baseline"/>
        </w:rPr>
        <w:t xml:space="preserve">Universidad Miguel Hernández. </w:t>
      </w:r>
      <w:r w:rsidRPr="00A26B9F">
        <w:rPr>
          <w:lang w:val="es-ES_tradnl"/>
        </w:rPr>
        <w:t>Departamento de Ingeniería, Área de Farmacia y Tecnología Farmacéutica</w:t>
      </w:r>
      <w:r>
        <w:rPr>
          <w:lang w:val="es-ES_tradnl"/>
        </w:rPr>
        <w:t>.</w:t>
      </w:r>
      <w:r w:rsidRPr="00A26B9F">
        <w:t xml:space="preserve"> </w:t>
      </w:r>
      <w:r w:rsidRPr="00A26B9F">
        <w:rPr>
          <w:lang w:val="es-ES_tradnl"/>
        </w:rPr>
        <w:t>Campus de Sant Joan d’Alacant. Alicante. España.</w:t>
      </w:r>
    </w:p>
    <w:p w14:paraId="4611A357" w14:textId="77777777" w:rsidR="00064564" w:rsidRDefault="00064564" w:rsidP="00064564">
      <w:pPr>
        <w:pStyle w:val="spslineablanca"/>
      </w:pPr>
      <w:r>
        <w:t>No borrar esta línea en blanco</w:t>
      </w:r>
    </w:p>
    <w:p w14:paraId="2DB427EF" w14:textId="77777777" w:rsidR="00064564" w:rsidRPr="00A73BD4" w:rsidRDefault="0033072B" w:rsidP="00064564">
      <w:pPr>
        <w:pStyle w:val="spscorrespondencia"/>
        <w:rPr>
          <w:rStyle w:val="spsnegritas"/>
        </w:rPr>
      </w:pPr>
      <w:r>
        <w:rPr>
          <w:rStyle w:val="spsnegritas"/>
        </w:rPr>
        <w:t>Correspondencia</w:t>
      </w:r>
    </w:p>
    <w:p w14:paraId="736CC1CE" w14:textId="77777777" w:rsidR="00064564" w:rsidRDefault="00064564" w:rsidP="00064564">
      <w:pPr>
        <w:pStyle w:val="spsinstrucciones"/>
      </w:pPr>
      <w:r>
        <w:t xml:space="preserve">No hace falta poner la dirección postal ni el teléfono. Con </w:t>
      </w:r>
      <w:r w:rsidR="002E3B1B">
        <w:t xml:space="preserve">el </w:t>
      </w:r>
      <w:r>
        <w:t xml:space="preserve">nombre y </w:t>
      </w:r>
      <w:r w:rsidR="002E3B1B">
        <w:t xml:space="preserve">el </w:t>
      </w:r>
      <w:r>
        <w:t>email basta</w:t>
      </w:r>
    </w:p>
    <w:p w14:paraId="7C9E1D0A" w14:textId="77777777" w:rsidR="00A26B9F" w:rsidRDefault="00A26B9F" w:rsidP="00064564">
      <w:pPr>
        <w:pStyle w:val="spscorrespondencia"/>
      </w:pPr>
      <w:r w:rsidRPr="00A26B9F">
        <w:t>El</w:t>
      </w:r>
      <w:r>
        <w:t>sa López-Pintor</w:t>
      </w:r>
    </w:p>
    <w:p w14:paraId="34016058" w14:textId="10AA9A83" w:rsidR="00A26B9F" w:rsidRDefault="00A26B9F" w:rsidP="00064564">
      <w:pPr>
        <w:pStyle w:val="spslineablanca"/>
        <w:rPr>
          <w:color w:val="auto"/>
          <w:lang w:val="es-ES"/>
        </w:rPr>
      </w:pPr>
      <w:hyperlink r:id="rId6" w:history="1">
        <w:r w:rsidRPr="0044178C">
          <w:rPr>
            <w:rStyle w:val="Hipervnculo"/>
            <w:lang w:val="es-ES"/>
          </w:rPr>
          <w:t>elsa.lopez@umh.es</w:t>
        </w:r>
      </w:hyperlink>
    </w:p>
    <w:p w14:paraId="475C120F" w14:textId="7BF64BA2" w:rsidR="00064564" w:rsidRDefault="00064564" w:rsidP="00064564">
      <w:pPr>
        <w:pStyle w:val="spslineablanca"/>
      </w:pPr>
      <w:r>
        <w:t>No borrar esta línea en blanco</w:t>
      </w:r>
    </w:p>
    <w:p w14:paraId="2322FE79" w14:textId="77777777" w:rsidR="00B4678C" w:rsidRDefault="00B4678C">
      <w:pPr>
        <w:spacing w:after="0"/>
        <w:rPr>
          <w:b/>
        </w:rPr>
      </w:pPr>
      <w:r>
        <w:br w:type="page"/>
      </w:r>
    </w:p>
    <w:p w14:paraId="322D9D98" w14:textId="3AE2A00E" w:rsidR="00064564" w:rsidRDefault="00C97D9D" w:rsidP="00064564">
      <w:pPr>
        <w:pStyle w:val="spsresumentit"/>
      </w:pPr>
      <w:r>
        <w:lastRenderedPageBreak/>
        <w:t>Resumen</w:t>
      </w:r>
      <w:bookmarkStart w:id="0" w:name="_GoBack"/>
      <w:bookmarkEnd w:id="0"/>
      <w:r w:rsidR="001E10D9">
        <w:t xml:space="preserve"> (máx 250 palabras)</w:t>
      </w:r>
    </w:p>
    <w:p w14:paraId="3ADEE659" w14:textId="77777777" w:rsidR="001F122D" w:rsidRPr="001F122D" w:rsidRDefault="001F122D" w:rsidP="001F122D">
      <w:pPr>
        <w:pStyle w:val="spsinstrucciones"/>
        <w:jc w:val="both"/>
        <w:rPr>
          <w:rStyle w:val="spsnegritas"/>
          <w:color w:val="auto"/>
          <w:lang w:val="es-ES"/>
        </w:rPr>
      </w:pPr>
      <w:r w:rsidRPr="001F122D">
        <w:rPr>
          <w:rStyle w:val="spsnegritas"/>
          <w:b/>
          <w:color w:val="auto"/>
          <w:lang w:val="es-ES"/>
        </w:rPr>
        <w:t>Objetivos</w:t>
      </w:r>
      <w:r w:rsidRPr="001F122D">
        <w:rPr>
          <w:rStyle w:val="spsnegritas"/>
          <w:color w:val="auto"/>
          <w:lang w:val="es-ES"/>
        </w:rPr>
        <w:t>: Revisar la literatura científica relacionada con las intervenciones desde la farmacia comunitaria en los pacientes adultos que recibieron atención de la salud a domicilio.</w:t>
      </w:r>
    </w:p>
    <w:p w14:paraId="1437BBDA" w14:textId="42CD1F33" w:rsidR="001F122D" w:rsidRPr="001F122D" w:rsidRDefault="001F122D" w:rsidP="001F122D">
      <w:pPr>
        <w:pStyle w:val="spsinstrucciones"/>
        <w:jc w:val="both"/>
        <w:rPr>
          <w:rStyle w:val="spsnegritas"/>
          <w:color w:val="auto"/>
          <w:lang w:val="es-ES"/>
        </w:rPr>
      </w:pPr>
      <w:r w:rsidRPr="001F122D">
        <w:rPr>
          <w:rStyle w:val="spsnegritas"/>
          <w:b/>
          <w:color w:val="auto"/>
          <w:lang w:val="es-ES"/>
        </w:rPr>
        <w:t>Métodos</w:t>
      </w:r>
      <w:r w:rsidRPr="001F122D">
        <w:rPr>
          <w:rStyle w:val="spsnegritas"/>
          <w:color w:val="auto"/>
          <w:lang w:val="es-ES"/>
        </w:rPr>
        <w:t xml:space="preserve">: Revisión exploratoria de los artículos recuperados de las bases de datos bibliográficas MEDLINE (PubMed), Embase, Cochrane Library, Scopus y Web of Science hasta marzo de 2020. La ecuación de búsqueda se formuló́ mediante los descriptores “Home Care Services” y “Pharmacies” o “Community Pharmacy Services”, utilizando también los Entry Terms relacionados y los filtros: «Humans» y «Adult: 19+ years». La calidad de los artículos se evaluó́ mediante el cuestionario STROBE. </w:t>
      </w:r>
    </w:p>
    <w:p w14:paraId="392E53AB" w14:textId="2D7AAE94" w:rsidR="001F122D" w:rsidRPr="001F122D" w:rsidRDefault="001F122D" w:rsidP="001F122D">
      <w:pPr>
        <w:pStyle w:val="spsinstrucciones"/>
        <w:jc w:val="both"/>
        <w:rPr>
          <w:rStyle w:val="spsnegritas"/>
          <w:color w:val="auto"/>
          <w:lang w:val="es-ES"/>
        </w:rPr>
      </w:pPr>
      <w:r w:rsidRPr="001F122D">
        <w:rPr>
          <w:rStyle w:val="spsnegritas"/>
          <w:b/>
          <w:color w:val="auto"/>
          <w:lang w:val="es-ES"/>
        </w:rPr>
        <w:t>Resultados</w:t>
      </w:r>
      <w:r w:rsidRPr="001F122D">
        <w:rPr>
          <w:rStyle w:val="spsnegritas"/>
          <w:color w:val="auto"/>
          <w:lang w:val="es-ES"/>
        </w:rPr>
        <w:t xml:space="preserve">: De las 307 referencias recuperadas, tras aplicar los criterios de inclusión y exclusión, se seleccionaron 44 artículos: 11 estudios descriptivos transversales y 10 ensayos aleatorizados controlados. En 19 (43%) de estos se observó que las intervenciones realizadas desde la farmacia comunitaria aumentaron la adherencia fármaco-terapéutica. También, un mejor conocimiento sobre los medicamentos (administración, seguridad, dosis, posología) en 17 (38,6%) trabajos y en 13 (29,5%) estudios se consiguió la prevención o resolución de los PRM. Al evaluar la calidad de los artículos seleccionados para la revisión mediante el cuestionario STROBE, las puntuaciones oscilaron entre un mínimo de 11 y un máximo de 20,8 sobre una puntuación máxima de 22. </w:t>
      </w:r>
    </w:p>
    <w:p w14:paraId="2FDC9C2D" w14:textId="67868D6C" w:rsidR="001F122D" w:rsidRDefault="001F122D" w:rsidP="001F122D">
      <w:pPr>
        <w:pStyle w:val="spsinstrucciones"/>
        <w:jc w:val="both"/>
        <w:rPr>
          <w:rStyle w:val="spsnegritas"/>
          <w:color w:val="auto"/>
          <w:lang w:val="es-ES"/>
        </w:rPr>
      </w:pPr>
      <w:r w:rsidRPr="001F122D">
        <w:rPr>
          <w:rStyle w:val="spsnegritas"/>
          <w:b/>
          <w:color w:val="auto"/>
          <w:lang w:val="es-ES"/>
        </w:rPr>
        <w:t>Conclusiones</w:t>
      </w:r>
      <w:r w:rsidRPr="001F122D">
        <w:rPr>
          <w:rStyle w:val="spsnegritas"/>
          <w:color w:val="auto"/>
          <w:lang w:val="es-ES"/>
        </w:rPr>
        <w:t>: La intervención farmacéutica, a través de la farmacia comunitaria, aportó beneficios en la población más adulta, mediante el aumento de la adherencia farmacoterapéutica, la disminución de los problemas relacionados con los medicamentos y la mejora en el almacenamiento y conservación de los mismos</w:t>
      </w:r>
      <w:r>
        <w:rPr>
          <w:rStyle w:val="spsnegritas"/>
          <w:color w:val="auto"/>
          <w:lang w:val="es-ES"/>
        </w:rPr>
        <w:t>.</w:t>
      </w:r>
    </w:p>
    <w:p w14:paraId="1D769BA0" w14:textId="31DEE5CB" w:rsidR="00064564" w:rsidRPr="001F47A6" w:rsidRDefault="00064564" w:rsidP="001F122D">
      <w:pPr>
        <w:pStyle w:val="spsinstrucciones"/>
      </w:pPr>
    </w:p>
    <w:p w14:paraId="4EF13D89" w14:textId="77777777" w:rsidR="001F122D" w:rsidRDefault="00064564" w:rsidP="001F122D">
      <w:pPr>
        <w:pStyle w:val="spspalabrasclave"/>
        <w:jc w:val="both"/>
      </w:pPr>
      <w:r w:rsidRPr="00A73BD4">
        <w:rPr>
          <w:rStyle w:val="spsnegritas"/>
        </w:rPr>
        <w:t>Palabras clave:</w:t>
      </w:r>
      <w:r>
        <w:t xml:space="preserve"> </w:t>
      </w:r>
      <w:r w:rsidR="001F122D" w:rsidRPr="001F122D">
        <w:t>Servicios de Atención de Salud a Domicilio; Farmacias; Servicios Comunitarios de Farmacia; Cumplimiento y Adherencia al Tratamiento; Errores de Medicación; Educación del Paciente como Asunto; Polifarmacia; Ancianos; Satisfacción del Paciente.</w:t>
      </w:r>
    </w:p>
    <w:p w14:paraId="7CC5230F" w14:textId="77777777" w:rsidR="001F122D" w:rsidRDefault="001F122D" w:rsidP="001F122D">
      <w:pPr>
        <w:pStyle w:val="spslineablanca"/>
      </w:pPr>
      <w:r>
        <w:t>No borrar esta línea en blanco</w:t>
      </w:r>
    </w:p>
    <w:p w14:paraId="685FE192" w14:textId="606A889F" w:rsidR="00910C31" w:rsidRPr="0009673F" w:rsidRDefault="00C97D9D" w:rsidP="00910C31">
      <w:pPr>
        <w:pStyle w:val="spsresumtxt"/>
        <w:jc w:val="both"/>
        <w:rPr>
          <w:rStyle w:val="spsnegritas"/>
          <w:b w:val="0"/>
        </w:rPr>
      </w:pPr>
      <w:r w:rsidRPr="0009673F">
        <w:rPr>
          <w:b/>
        </w:rPr>
        <w:t>Abstract</w:t>
      </w:r>
      <w:r w:rsidR="00910C31" w:rsidRPr="0009673F">
        <w:rPr>
          <w:rStyle w:val="spsnegritas"/>
          <w:b w:val="0"/>
        </w:rPr>
        <w:t xml:space="preserve"> </w:t>
      </w:r>
      <w:r w:rsidR="001E10D9">
        <w:rPr>
          <w:rStyle w:val="spsnegritas"/>
          <w:b w:val="0"/>
        </w:rPr>
        <w:t>(250 words)</w:t>
      </w:r>
    </w:p>
    <w:p w14:paraId="250A68E4" w14:textId="77777777" w:rsidR="000F790D" w:rsidRDefault="000F790D" w:rsidP="000F790D">
      <w:pPr>
        <w:pStyle w:val="Default"/>
        <w:spacing w:after="240"/>
        <w:jc w:val="both"/>
        <w:rPr>
          <w:sz w:val="23"/>
          <w:szCs w:val="23"/>
        </w:rPr>
      </w:pPr>
      <w:r>
        <w:rPr>
          <w:b/>
          <w:bCs/>
          <w:sz w:val="23"/>
          <w:szCs w:val="23"/>
        </w:rPr>
        <w:t xml:space="preserve">Objective: </w:t>
      </w:r>
      <w:r>
        <w:rPr>
          <w:sz w:val="23"/>
          <w:szCs w:val="23"/>
        </w:rPr>
        <w:t xml:space="preserve">To review the scientific literature related to interventions from the community pharmacy in adult patients who received home health care. </w:t>
      </w:r>
    </w:p>
    <w:p w14:paraId="62C1ECF4" w14:textId="1B66C181" w:rsidR="00910C31" w:rsidRDefault="000F790D" w:rsidP="000F790D">
      <w:pPr>
        <w:pStyle w:val="spsresumtxt"/>
        <w:jc w:val="both"/>
        <w:rPr>
          <w:sz w:val="23"/>
          <w:szCs w:val="23"/>
        </w:rPr>
      </w:pPr>
      <w:r>
        <w:rPr>
          <w:b/>
          <w:bCs/>
          <w:sz w:val="23"/>
          <w:szCs w:val="23"/>
        </w:rPr>
        <w:t xml:space="preserve">Method: </w:t>
      </w:r>
      <w:r>
        <w:rPr>
          <w:sz w:val="23"/>
          <w:szCs w:val="23"/>
        </w:rPr>
        <w:t>Exploratory review of the articles retrieved from the bibliographic databases MEDLINE (PubMed), Embase, Cochrane Library, Scopus and Web of Science until March 2020. The search equation was formulated using the descriptors “Home Care Services” and "Pharmacies" or “</w:t>
      </w:r>
      <w:r>
        <w:rPr>
          <w:i/>
          <w:iCs/>
          <w:sz w:val="23"/>
          <w:szCs w:val="23"/>
        </w:rPr>
        <w:t>Community Pharmacy Services</w:t>
      </w:r>
      <w:r>
        <w:rPr>
          <w:sz w:val="23"/>
          <w:szCs w:val="23"/>
        </w:rPr>
        <w:t>”, also using the related Entry Terms and filters: "Humans" and "Adult: 19+ years". The quality of the articles was evaluated using the STROBE questionnaire.</w:t>
      </w:r>
    </w:p>
    <w:p w14:paraId="71529EA2" w14:textId="77777777" w:rsidR="000F790D" w:rsidRDefault="000F790D" w:rsidP="000F790D">
      <w:pPr>
        <w:pStyle w:val="spsresumtxt"/>
        <w:jc w:val="both"/>
        <w:rPr>
          <w:sz w:val="23"/>
          <w:szCs w:val="23"/>
        </w:rPr>
      </w:pPr>
      <w:r w:rsidRPr="000F790D">
        <w:rPr>
          <w:b/>
          <w:sz w:val="23"/>
          <w:szCs w:val="23"/>
        </w:rPr>
        <w:t>Results</w:t>
      </w:r>
      <w:r w:rsidRPr="000F790D">
        <w:rPr>
          <w:sz w:val="23"/>
          <w:szCs w:val="23"/>
        </w:rPr>
        <w:t xml:space="preserve">: From the 307 references retrieved, after applying the inclusion and exclusion criteria, 44 articles were selected: 11 cross-sectional descriptive studies and 10 randomized controlled trials. In 19 (43%) of these, it was observed that the </w:t>
      </w:r>
      <w:r w:rsidRPr="000F790D">
        <w:rPr>
          <w:sz w:val="23"/>
          <w:szCs w:val="23"/>
        </w:rPr>
        <w:lastRenderedPageBreak/>
        <w:t xml:space="preserve">interventions carried out by the community pharmacy increased drug-therapeutic adherence. Also, a better knowledge of medications (administration, safety, dosage, dosage) in 17 (38.6%) studies and in 13 (29.5%) studies, the prevention or resolution of DRM was achieved. Once the articles were evaluated by means of the STROBE questionnaire for this review the scores ranged from a minimum of 11 to a maximum of 20.8 out of a maximum score of 22. </w:t>
      </w:r>
    </w:p>
    <w:p w14:paraId="1A3EDC6E" w14:textId="099C9AB3" w:rsidR="000F790D" w:rsidRDefault="000F790D" w:rsidP="00D346B1">
      <w:pPr>
        <w:pStyle w:val="spsresumtxt"/>
        <w:jc w:val="both"/>
        <w:rPr>
          <w:sz w:val="23"/>
          <w:szCs w:val="23"/>
        </w:rPr>
      </w:pPr>
      <w:r w:rsidRPr="000F790D">
        <w:rPr>
          <w:b/>
          <w:sz w:val="23"/>
          <w:szCs w:val="23"/>
        </w:rPr>
        <w:t>Conclusions</w:t>
      </w:r>
      <w:r w:rsidRPr="000F790D">
        <w:rPr>
          <w:sz w:val="23"/>
          <w:szCs w:val="23"/>
        </w:rPr>
        <w:t>: Pharmaceutical intervention, through community pharmacy, brought benefits in the older adult population, by increasing pharmacotherapeutic adherence, reducing drug-related problems, and challenges in preserving and storing medications.</w:t>
      </w:r>
    </w:p>
    <w:p w14:paraId="789B24BA" w14:textId="77777777" w:rsidR="000F790D" w:rsidRPr="00971788" w:rsidRDefault="000F790D" w:rsidP="00D346B1">
      <w:pPr>
        <w:pStyle w:val="spsresumtxt"/>
        <w:jc w:val="both"/>
      </w:pPr>
    </w:p>
    <w:p w14:paraId="639C97F2" w14:textId="6C7D9EFA" w:rsidR="00064564" w:rsidRDefault="00064564" w:rsidP="00D346B1">
      <w:pPr>
        <w:pStyle w:val="spskeywords"/>
        <w:jc w:val="both"/>
      </w:pPr>
      <w:r>
        <w:rPr>
          <w:rStyle w:val="spsnegritas"/>
        </w:rPr>
        <w:t>Keywords</w:t>
      </w:r>
      <w:r w:rsidRPr="00A73BD4">
        <w:rPr>
          <w:rStyle w:val="spsnegritas"/>
        </w:rPr>
        <w:t>:</w:t>
      </w:r>
      <w:r>
        <w:t xml:space="preserve"> </w:t>
      </w:r>
      <w:r w:rsidR="000F790D">
        <w:rPr>
          <w:sz w:val="23"/>
          <w:szCs w:val="23"/>
        </w:rPr>
        <w:t>Home Care Services; Pharmacies; Community Pharmacy Services; Treatment Adherence and Compliance; Medication Errors; Patient Education as Topic; Polypharmacy; Aged; Patient Satisfaction.</w:t>
      </w:r>
    </w:p>
    <w:p w14:paraId="097DFFE0" w14:textId="77777777" w:rsidR="00064564" w:rsidRDefault="00064564" w:rsidP="00064564">
      <w:pPr>
        <w:pStyle w:val="spslineablanca"/>
      </w:pPr>
      <w:r>
        <w:t>No borrar esta línea en blanco</w:t>
      </w:r>
    </w:p>
    <w:p w14:paraId="41CDE980" w14:textId="49A0AB5D" w:rsidR="00064564" w:rsidRDefault="00064564" w:rsidP="00B4678C">
      <w:pPr>
        <w:pStyle w:val="spslineablanca"/>
      </w:pPr>
      <w:r w:rsidRPr="001F47A6">
        <w:rPr>
          <w:rStyle w:val="spsnegritas"/>
        </w:rPr>
        <w:t>Recibido:</w:t>
      </w:r>
      <w:r>
        <w:t xml:space="preserve"> 00/00/0000</w:t>
      </w:r>
      <w:r w:rsidR="00B4678C">
        <w:t xml:space="preserve"> (No borrar lo completará el editor)</w:t>
      </w:r>
    </w:p>
    <w:p w14:paraId="1383A506" w14:textId="55E66D43" w:rsidR="00064564" w:rsidRDefault="00064564" w:rsidP="00B4678C">
      <w:pPr>
        <w:pStyle w:val="spslineablanca"/>
      </w:pPr>
      <w:r w:rsidRPr="001F47A6">
        <w:rPr>
          <w:rStyle w:val="spsnegritas"/>
        </w:rPr>
        <w:t>Aceptado:</w:t>
      </w:r>
      <w:r>
        <w:t xml:space="preserve"> 00/00/0000</w:t>
      </w:r>
      <w:r w:rsidR="00B4678C">
        <w:t xml:space="preserve"> (No borrar lo completará el editor)</w:t>
      </w:r>
    </w:p>
    <w:p w14:paraId="33620896" w14:textId="7C4AA508" w:rsidR="00866FBB" w:rsidRPr="00A13C90" w:rsidRDefault="00866FBB" w:rsidP="00A13C90">
      <w:pPr>
        <w:spacing w:after="0"/>
        <w:rPr>
          <w:color w:val="FFD966" w:themeColor="accent4" w:themeTint="99"/>
          <w:lang w:val="es-ES_tradnl"/>
        </w:rPr>
      </w:pPr>
    </w:p>
    <w:sectPr w:rsidR="00866FBB" w:rsidRPr="00A13C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82287" w14:textId="77777777" w:rsidR="00C33305" w:rsidRDefault="00C33305" w:rsidP="00064564">
      <w:r>
        <w:separator/>
      </w:r>
    </w:p>
  </w:endnote>
  <w:endnote w:type="continuationSeparator" w:id="0">
    <w:p w14:paraId="48FFC902" w14:textId="77777777" w:rsidR="00C33305" w:rsidRDefault="00C33305"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4B803" w14:textId="77777777" w:rsidR="00C33305" w:rsidRDefault="00C33305" w:rsidP="00064564">
      <w:r>
        <w:separator/>
      </w:r>
    </w:p>
  </w:footnote>
  <w:footnote w:type="continuationSeparator" w:id="0">
    <w:p w14:paraId="697B85F9" w14:textId="77777777" w:rsidR="00C33305" w:rsidRDefault="00C33305"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131078" w:nlCheck="1" w:checkStyle="1"/>
  <w:activeWritingStyle w:appName="MSWord" w:lang="es-E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4"/>
    <w:rsid w:val="000026B6"/>
    <w:rsid w:val="0001549F"/>
    <w:rsid w:val="00053F5D"/>
    <w:rsid w:val="0006233D"/>
    <w:rsid w:val="00064564"/>
    <w:rsid w:val="0007756F"/>
    <w:rsid w:val="0009673F"/>
    <w:rsid w:val="000D34C6"/>
    <w:rsid w:val="000E0429"/>
    <w:rsid w:val="000E1959"/>
    <w:rsid w:val="000F655F"/>
    <w:rsid w:val="000F790D"/>
    <w:rsid w:val="00134F63"/>
    <w:rsid w:val="00135267"/>
    <w:rsid w:val="001432B0"/>
    <w:rsid w:val="00171B38"/>
    <w:rsid w:val="001B2376"/>
    <w:rsid w:val="001B78A6"/>
    <w:rsid w:val="001D4532"/>
    <w:rsid w:val="001E10D9"/>
    <w:rsid w:val="001F122D"/>
    <w:rsid w:val="001F2249"/>
    <w:rsid w:val="001F30C3"/>
    <w:rsid w:val="00276E5C"/>
    <w:rsid w:val="002912E6"/>
    <w:rsid w:val="002E2797"/>
    <w:rsid w:val="002E3B1B"/>
    <w:rsid w:val="002E51F6"/>
    <w:rsid w:val="002F138A"/>
    <w:rsid w:val="00305866"/>
    <w:rsid w:val="0033072B"/>
    <w:rsid w:val="00340334"/>
    <w:rsid w:val="003637F0"/>
    <w:rsid w:val="00365232"/>
    <w:rsid w:val="003A6DC1"/>
    <w:rsid w:val="00402300"/>
    <w:rsid w:val="00432309"/>
    <w:rsid w:val="00432808"/>
    <w:rsid w:val="00435818"/>
    <w:rsid w:val="00483907"/>
    <w:rsid w:val="00485796"/>
    <w:rsid w:val="00495992"/>
    <w:rsid w:val="004A1F37"/>
    <w:rsid w:val="004B0597"/>
    <w:rsid w:val="004B618B"/>
    <w:rsid w:val="004D6EA1"/>
    <w:rsid w:val="00524720"/>
    <w:rsid w:val="005632AF"/>
    <w:rsid w:val="00566366"/>
    <w:rsid w:val="00566ABF"/>
    <w:rsid w:val="005B4558"/>
    <w:rsid w:val="005C6E08"/>
    <w:rsid w:val="005C7C10"/>
    <w:rsid w:val="005D1892"/>
    <w:rsid w:val="005E02A4"/>
    <w:rsid w:val="00605FC0"/>
    <w:rsid w:val="00606D62"/>
    <w:rsid w:val="006405F6"/>
    <w:rsid w:val="0065040E"/>
    <w:rsid w:val="006705A0"/>
    <w:rsid w:val="006F2AC4"/>
    <w:rsid w:val="006F4981"/>
    <w:rsid w:val="006F64AF"/>
    <w:rsid w:val="007356C1"/>
    <w:rsid w:val="00752A78"/>
    <w:rsid w:val="0078002E"/>
    <w:rsid w:val="007D4680"/>
    <w:rsid w:val="007E0EBB"/>
    <w:rsid w:val="008139FB"/>
    <w:rsid w:val="0082501E"/>
    <w:rsid w:val="008266B5"/>
    <w:rsid w:val="0084588A"/>
    <w:rsid w:val="0085433D"/>
    <w:rsid w:val="00866891"/>
    <w:rsid w:val="00866FBB"/>
    <w:rsid w:val="008C1823"/>
    <w:rsid w:val="008E0A92"/>
    <w:rsid w:val="008E3A84"/>
    <w:rsid w:val="00910C31"/>
    <w:rsid w:val="00917B39"/>
    <w:rsid w:val="009D2372"/>
    <w:rsid w:val="009E4312"/>
    <w:rsid w:val="00A13C90"/>
    <w:rsid w:val="00A15031"/>
    <w:rsid w:val="00A26B9F"/>
    <w:rsid w:val="00A312C9"/>
    <w:rsid w:val="00A44F91"/>
    <w:rsid w:val="00A5754F"/>
    <w:rsid w:val="00AC4B16"/>
    <w:rsid w:val="00B039CE"/>
    <w:rsid w:val="00B23F11"/>
    <w:rsid w:val="00B25F4A"/>
    <w:rsid w:val="00B4387D"/>
    <w:rsid w:val="00B4678C"/>
    <w:rsid w:val="00B63A7D"/>
    <w:rsid w:val="00B63B9A"/>
    <w:rsid w:val="00B729B2"/>
    <w:rsid w:val="00B91D32"/>
    <w:rsid w:val="00BB694C"/>
    <w:rsid w:val="00BD396D"/>
    <w:rsid w:val="00BE2074"/>
    <w:rsid w:val="00C23243"/>
    <w:rsid w:val="00C246C1"/>
    <w:rsid w:val="00C33305"/>
    <w:rsid w:val="00C50981"/>
    <w:rsid w:val="00C642E4"/>
    <w:rsid w:val="00C719DF"/>
    <w:rsid w:val="00C97D9D"/>
    <w:rsid w:val="00CA02D1"/>
    <w:rsid w:val="00CB2BF8"/>
    <w:rsid w:val="00D03D0E"/>
    <w:rsid w:val="00D250D4"/>
    <w:rsid w:val="00D346B1"/>
    <w:rsid w:val="00D5115A"/>
    <w:rsid w:val="00D64D47"/>
    <w:rsid w:val="00D73D5F"/>
    <w:rsid w:val="00D90576"/>
    <w:rsid w:val="00D91BA9"/>
    <w:rsid w:val="00D93DBA"/>
    <w:rsid w:val="00DD65DF"/>
    <w:rsid w:val="00E14042"/>
    <w:rsid w:val="00E17C17"/>
    <w:rsid w:val="00E84955"/>
    <w:rsid w:val="00E84F44"/>
    <w:rsid w:val="00E94126"/>
    <w:rsid w:val="00E9435E"/>
    <w:rsid w:val="00EB37EF"/>
    <w:rsid w:val="00ED5474"/>
    <w:rsid w:val="00EE214E"/>
    <w:rsid w:val="00EF1796"/>
    <w:rsid w:val="00F12777"/>
    <w:rsid w:val="00F25D76"/>
    <w:rsid w:val="00F5760A"/>
    <w:rsid w:val="00F84222"/>
    <w:rsid w:val="00F8690A"/>
    <w:rsid w:val="00F90CFE"/>
    <w:rsid w:val="00FA1310"/>
    <w:rsid w:val="00FA73E1"/>
    <w:rsid w:val="00FB236F"/>
    <w:rsid w:val="00FC29EC"/>
    <w:rsid w:val="00FC649F"/>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paragraph" w:customStyle="1" w:styleId="Default">
    <w:name w:val="Default"/>
    <w:rsid w:val="000F790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sa.lopez@umh.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USUARIO</cp:lastModifiedBy>
  <cp:revision>5</cp:revision>
  <dcterms:created xsi:type="dcterms:W3CDTF">2020-06-26T14:32:00Z</dcterms:created>
  <dcterms:modified xsi:type="dcterms:W3CDTF">2020-07-10T19:28:00Z</dcterms:modified>
</cp:coreProperties>
</file>